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jc w:val="center"/>
        <w:tblInd w:w="-72" w:type="dxa"/>
        <w:tblLayout w:type="fixed"/>
        <w:tblCellMar>
          <w:left w:w="70" w:type="dxa"/>
          <w:right w:w="70" w:type="dxa"/>
        </w:tblCellMar>
        <w:tblLook w:val="0000" w:firstRow="0" w:lastRow="0" w:firstColumn="0" w:lastColumn="0" w:noHBand="0" w:noVBand="0"/>
      </w:tblPr>
      <w:tblGrid>
        <w:gridCol w:w="1836"/>
        <w:gridCol w:w="2487"/>
        <w:gridCol w:w="956"/>
        <w:gridCol w:w="768"/>
        <w:gridCol w:w="3555"/>
        <w:gridCol w:w="38"/>
      </w:tblGrid>
      <w:tr w:rsidR="004C7679" w:rsidRPr="004C7679" w:rsidTr="002210C2">
        <w:trPr>
          <w:cantSplit/>
          <w:jc w:val="center"/>
        </w:trPr>
        <w:tc>
          <w:tcPr>
            <w:tcW w:w="6071" w:type="dxa"/>
            <w:gridSpan w:val="4"/>
            <w:tcBorders>
              <w:top w:val="nil"/>
              <w:left w:val="nil"/>
              <w:bottom w:val="nil"/>
              <w:right w:val="nil"/>
            </w:tcBorders>
          </w:tcPr>
          <w:p w:rsidR="004C7679" w:rsidRPr="004C7679" w:rsidRDefault="004C7679" w:rsidP="004C7679">
            <w:pPr>
              <w:tabs>
                <w:tab w:val="center" w:pos="4677"/>
                <w:tab w:val="right" w:pos="9355"/>
              </w:tabs>
              <w:rPr>
                <w:rFonts w:ascii="Calibri" w:eastAsia="Calibri" w:hAnsi="Calibri"/>
                <w:noProof/>
                <w:sz w:val="22"/>
                <w:szCs w:val="22"/>
                <w:bdr w:val="none" w:sz="0" w:space="0" w:color="auto"/>
                <w:lang w:val="de-DE" w:eastAsia="de-DE"/>
              </w:rPr>
            </w:pPr>
            <w:bookmarkStart w:id="0" w:name="_GoBack"/>
            <w:bookmarkEnd w:id="0"/>
            <w:r w:rsidRPr="004C7679">
              <w:rPr>
                <w:rFonts w:ascii="Calibri" w:eastAsia="Calibri" w:hAnsi="Calibri"/>
                <w:noProof/>
                <w:sz w:val="22"/>
                <w:szCs w:val="22"/>
                <w:bdr w:val="none" w:sz="0" w:space="0" w:color="auto"/>
              </w:rPr>
              <w:drawing>
                <wp:inline distT="0" distB="0" distL="0" distR="0" wp14:anchorId="76619DF5" wp14:editId="19F5C0CF">
                  <wp:extent cx="1623060" cy="830580"/>
                  <wp:effectExtent l="0" t="0" r="0" b="762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30580"/>
                          </a:xfrm>
                          <a:prstGeom prst="rect">
                            <a:avLst/>
                          </a:prstGeom>
                          <a:noFill/>
                          <a:ln>
                            <a:noFill/>
                          </a:ln>
                        </pic:spPr>
                      </pic:pic>
                    </a:graphicData>
                  </a:graphic>
                </wp:inline>
              </w:drawing>
            </w:r>
          </w:p>
          <w:p w:rsidR="004C7679" w:rsidRPr="004C7679" w:rsidRDefault="004C7679" w:rsidP="004C7679">
            <w:pPr>
              <w:tabs>
                <w:tab w:val="center" w:pos="4677"/>
                <w:tab w:val="right" w:pos="9355"/>
              </w:tabs>
              <w:rPr>
                <w:rFonts w:ascii="Calibri" w:eastAsia="Calibri" w:hAnsi="Calibri" w:cs="Arial"/>
                <w:color w:val="000000"/>
                <w:sz w:val="22"/>
                <w:szCs w:val="22"/>
                <w:bdr w:val="none" w:sz="0" w:space="0" w:color="auto"/>
                <w:lang w:val="en-GB" w:eastAsia="en-US"/>
              </w:rPr>
            </w:pPr>
            <w:r w:rsidRPr="004C7679">
              <w:rPr>
                <w:rFonts w:ascii="Calibri" w:eastAsia="Calibri" w:hAnsi="Calibri"/>
                <w:b/>
                <w:noProof/>
                <w:sz w:val="22"/>
                <w:szCs w:val="22"/>
                <w:bdr w:val="none" w:sz="0" w:space="0" w:color="auto"/>
                <w:lang w:val="de-DE" w:eastAsia="de-DE"/>
              </w:rPr>
              <w:t>Working Group Frequency Management</w:t>
            </w:r>
          </w:p>
        </w:tc>
        <w:tc>
          <w:tcPr>
            <w:tcW w:w="3569" w:type="dxa"/>
            <w:gridSpan w:val="2"/>
            <w:tcBorders>
              <w:top w:val="nil"/>
              <w:left w:val="nil"/>
              <w:bottom w:val="nil"/>
              <w:right w:val="nil"/>
            </w:tcBorders>
          </w:tcPr>
          <w:p w:rsidR="004C7679" w:rsidRPr="004C7679" w:rsidRDefault="004C7679" w:rsidP="004C7679">
            <w:pPr>
              <w:tabs>
                <w:tab w:val="right" w:pos="3357"/>
                <w:tab w:val="center" w:pos="4677"/>
                <w:tab w:val="right" w:pos="9355"/>
              </w:tabs>
              <w:jc w:val="right"/>
              <w:rPr>
                <w:rFonts w:ascii="Arial" w:eastAsia="Calibri" w:hAnsi="Arial" w:cs="Arial"/>
                <w:b/>
                <w:sz w:val="22"/>
                <w:szCs w:val="22"/>
                <w:bdr w:val="none" w:sz="0" w:space="0" w:color="auto"/>
                <w:lang w:val="en-GB" w:eastAsia="en-US"/>
              </w:rPr>
            </w:pPr>
            <w:r w:rsidRPr="004C7679">
              <w:rPr>
                <w:rFonts w:ascii="Arial" w:eastAsia="Calibri" w:hAnsi="Arial" w:cs="Arial"/>
                <w:b/>
                <w:sz w:val="22"/>
                <w:szCs w:val="22"/>
                <w:bdr w:val="none" w:sz="0" w:space="0" w:color="auto"/>
                <w:lang w:val="en-GB" w:eastAsia="en-US"/>
              </w:rPr>
              <w:t>FM(15)0</w:t>
            </w:r>
            <w:r w:rsidR="009D2E15">
              <w:rPr>
                <w:rFonts w:ascii="Arial" w:eastAsia="Calibri" w:hAnsi="Arial" w:cs="Arial"/>
                <w:b/>
                <w:sz w:val="22"/>
                <w:szCs w:val="22"/>
                <w:bdr w:val="none" w:sz="0" w:space="0" w:color="auto"/>
                <w:lang w:val="en-GB" w:eastAsia="en-US"/>
              </w:rPr>
              <w:t>35</w:t>
            </w:r>
          </w:p>
          <w:p w:rsidR="004C7679" w:rsidRPr="004C7679" w:rsidRDefault="004C7679" w:rsidP="002F3825">
            <w:pPr>
              <w:tabs>
                <w:tab w:val="right" w:pos="3357"/>
                <w:tab w:val="center" w:pos="4677"/>
                <w:tab w:val="right" w:pos="9355"/>
              </w:tabs>
              <w:jc w:val="right"/>
              <w:rPr>
                <w:rFonts w:ascii="Arial" w:eastAsia="Calibri" w:hAnsi="Arial" w:cs="Arial"/>
                <w:b/>
                <w:sz w:val="22"/>
                <w:szCs w:val="22"/>
                <w:bdr w:val="none" w:sz="0" w:space="0" w:color="auto"/>
                <w:lang w:val="en-GB" w:eastAsia="en-US"/>
              </w:rPr>
            </w:pPr>
            <w:r w:rsidRPr="004C7679">
              <w:rPr>
                <w:rFonts w:ascii="Arial" w:eastAsia="Calibri" w:hAnsi="Arial" w:cs="Arial"/>
                <w:b/>
                <w:sz w:val="22"/>
                <w:szCs w:val="22"/>
                <w:bdr w:val="none" w:sz="0" w:space="0" w:color="auto"/>
                <w:lang w:val="en-GB" w:eastAsia="en-US"/>
              </w:rPr>
              <w:t>FM44(15)</w:t>
            </w:r>
            <w:r w:rsidR="002F3825">
              <w:rPr>
                <w:rFonts w:ascii="Arial" w:eastAsia="Calibri" w:hAnsi="Arial" w:cs="Arial"/>
                <w:b/>
                <w:sz w:val="22"/>
                <w:szCs w:val="22"/>
                <w:bdr w:val="none" w:sz="0" w:space="0" w:color="auto"/>
                <w:lang w:val="en-GB" w:eastAsia="en-US"/>
              </w:rPr>
              <w:t>Temp1</w:t>
            </w:r>
          </w:p>
        </w:tc>
      </w:tr>
      <w:tr w:rsidR="004C7679" w:rsidRPr="00FA7622" w:rsidTr="002210C2">
        <w:tblPrEx>
          <w:tblCellMar>
            <w:left w:w="108" w:type="dxa"/>
            <w:right w:w="108" w:type="dxa"/>
          </w:tblCellMar>
        </w:tblPrEx>
        <w:trPr>
          <w:gridAfter w:val="1"/>
          <w:wAfter w:w="38" w:type="dxa"/>
          <w:cantSplit/>
          <w:trHeight w:val="405"/>
          <w:jc w:val="center"/>
        </w:trPr>
        <w:tc>
          <w:tcPr>
            <w:tcW w:w="4340" w:type="dxa"/>
            <w:gridSpan w:val="2"/>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22"/>
                <w:szCs w:val="22"/>
                <w:bdr w:val="none" w:sz="0" w:space="0" w:color="auto"/>
                <w:lang w:val="en-US" w:eastAsia="en-US"/>
              </w:rPr>
            </w:pPr>
            <w:r w:rsidRPr="004C7679">
              <w:rPr>
                <w:rFonts w:ascii="Arial" w:eastAsia="Calibri" w:hAnsi="Arial" w:cs="Arial"/>
                <w:b/>
                <w:sz w:val="22"/>
                <w:szCs w:val="22"/>
                <w:bdr w:val="none" w:sz="0" w:space="0" w:color="auto"/>
                <w:lang w:val="en-US" w:eastAsia="en-US"/>
              </w:rPr>
              <w:t>WG FM</w:t>
            </w:r>
          </w:p>
          <w:p w:rsidR="004C7679" w:rsidRPr="004C7679" w:rsidRDefault="004C7679" w:rsidP="004C7679">
            <w:pPr>
              <w:tabs>
                <w:tab w:val="center" w:pos="4677"/>
                <w:tab w:val="right" w:pos="9355"/>
              </w:tabs>
              <w:rPr>
                <w:rFonts w:ascii="Arial" w:eastAsia="Calibri" w:hAnsi="Arial" w:cs="Arial"/>
                <w:b/>
                <w:sz w:val="22"/>
                <w:szCs w:val="22"/>
                <w:bdr w:val="none" w:sz="0" w:space="0" w:color="auto"/>
                <w:lang w:val="en-US" w:eastAsia="en-US"/>
              </w:rPr>
            </w:pPr>
            <w:r w:rsidRPr="004C7679">
              <w:rPr>
                <w:rFonts w:ascii="Arial" w:eastAsia="Calibri" w:hAnsi="Arial" w:cs="Arial"/>
                <w:b/>
                <w:sz w:val="22"/>
                <w:szCs w:val="22"/>
                <w:bdr w:val="none" w:sz="0" w:space="0" w:color="auto"/>
                <w:lang w:val="en-US" w:eastAsia="en-US"/>
              </w:rPr>
              <w:t>Antalya, Turkey,</w:t>
            </w:r>
          </w:p>
          <w:p w:rsidR="004C7679" w:rsidRPr="004C7679" w:rsidRDefault="004C7679" w:rsidP="004C7679">
            <w:pPr>
              <w:tabs>
                <w:tab w:val="center" w:pos="4677"/>
                <w:tab w:val="right" w:pos="9355"/>
              </w:tabs>
              <w:rPr>
                <w:rFonts w:ascii="Arial" w:eastAsia="Calibri" w:hAnsi="Arial" w:cs="Arial"/>
                <w:b/>
                <w:sz w:val="22"/>
                <w:szCs w:val="22"/>
                <w:bdr w:val="none" w:sz="0" w:space="0" w:color="auto"/>
                <w:lang w:val="en-US" w:eastAsia="en-US"/>
              </w:rPr>
            </w:pPr>
            <w:r w:rsidRPr="004C7679">
              <w:rPr>
                <w:rFonts w:ascii="Arial" w:eastAsia="Calibri" w:hAnsi="Arial" w:cs="Arial"/>
                <w:b/>
                <w:sz w:val="22"/>
                <w:szCs w:val="22"/>
                <w:bdr w:val="none" w:sz="0" w:space="0" w:color="auto"/>
                <w:lang w:val="en-US" w:eastAsia="en-US"/>
              </w:rPr>
              <w:t>9-13 February 2015</w:t>
            </w:r>
          </w:p>
        </w:tc>
        <w:tc>
          <w:tcPr>
            <w:tcW w:w="5300" w:type="dxa"/>
            <w:gridSpan w:val="3"/>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22"/>
                <w:szCs w:val="22"/>
                <w:bdr w:val="none" w:sz="0" w:space="0" w:color="auto"/>
                <w:lang w:val="en-US" w:eastAsia="en-US"/>
              </w:rPr>
            </w:pPr>
          </w:p>
        </w:tc>
      </w:tr>
      <w:tr w:rsidR="004C7679" w:rsidRPr="00FA7622" w:rsidTr="002210C2">
        <w:tblPrEx>
          <w:tblCellMar>
            <w:left w:w="108" w:type="dxa"/>
            <w:right w:w="108" w:type="dxa"/>
          </w:tblCellMar>
        </w:tblPrEx>
        <w:trPr>
          <w:gridAfter w:val="3"/>
          <w:wAfter w:w="4340" w:type="dxa"/>
          <w:cantSplit/>
          <w:trHeight w:val="405"/>
          <w:jc w:val="center"/>
        </w:trPr>
        <w:tc>
          <w:tcPr>
            <w:tcW w:w="5300" w:type="dxa"/>
            <w:gridSpan w:val="3"/>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22"/>
                <w:szCs w:val="22"/>
                <w:bdr w:val="none" w:sz="0" w:space="0" w:color="auto"/>
                <w:lang w:val="en-US" w:eastAsia="en-US"/>
              </w:rPr>
            </w:pPr>
          </w:p>
        </w:tc>
      </w:tr>
      <w:tr w:rsidR="004C7679" w:rsidRPr="00FA7622" w:rsidTr="002210C2">
        <w:tblPrEx>
          <w:tblCellMar>
            <w:left w:w="108" w:type="dxa"/>
            <w:right w:w="108" w:type="dxa"/>
          </w:tblCellMar>
        </w:tblPrEx>
        <w:trPr>
          <w:gridAfter w:val="1"/>
          <w:wAfter w:w="38" w:type="dxa"/>
          <w:cantSplit/>
          <w:trHeight w:val="80"/>
          <w:jc w:val="center"/>
        </w:trPr>
        <w:tc>
          <w:tcPr>
            <w:tcW w:w="4340" w:type="dxa"/>
            <w:gridSpan w:val="2"/>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8"/>
                <w:szCs w:val="22"/>
                <w:bdr w:val="none" w:sz="0" w:space="0" w:color="auto"/>
                <w:lang w:val="en-US" w:eastAsia="en-US"/>
              </w:rPr>
            </w:pPr>
          </w:p>
        </w:tc>
        <w:tc>
          <w:tcPr>
            <w:tcW w:w="5300" w:type="dxa"/>
            <w:gridSpan w:val="3"/>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8"/>
                <w:szCs w:val="22"/>
                <w:bdr w:val="none" w:sz="0" w:space="0" w:color="auto"/>
                <w:lang w:val="en-US" w:eastAsia="en-US"/>
              </w:rPr>
            </w:pPr>
          </w:p>
        </w:tc>
      </w:tr>
      <w:tr w:rsidR="004C7679" w:rsidRPr="004C7679" w:rsidTr="002210C2">
        <w:tblPrEx>
          <w:tblCellMar>
            <w:left w:w="108" w:type="dxa"/>
            <w:right w:w="108" w:type="dxa"/>
          </w:tblCellMar>
        </w:tblPrEx>
        <w:trPr>
          <w:gridAfter w:val="1"/>
          <w:wAfter w:w="38" w:type="dxa"/>
          <w:cantSplit/>
          <w:trHeight w:val="405"/>
          <w:jc w:val="center"/>
        </w:trPr>
        <w:tc>
          <w:tcPr>
            <w:tcW w:w="1843" w:type="dxa"/>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22"/>
                <w:szCs w:val="22"/>
                <w:bdr w:val="none" w:sz="0" w:space="0" w:color="auto"/>
                <w:lang w:val="en-GB" w:eastAsia="en-US"/>
              </w:rPr>
            </w:pPr>
            <w:r w:rsidRPr="004C7679">
              <w:rPr>
                <w:rFonts w:ascii="Arial" w:eastAsia="Calibri" w:hAnsi="Arial" w:cs="Arial"/>
                <w:b/>
                <w:sz w:val="22"/>
                <w:szCs w:val="22"/>
                <w:bdr w:val="none" w:sz="0" w:space="0" w:color="auto"/>
                <w:lang w:val="en-GB" w:eastAsia="en-US"/>
              </w:rPr>
              <w:t xml:space="preserve">Date issued: </w:t>
            </w:r>
          </w:p>
        </w:tc>
        <w:tc>
          <w:tcPr>
            <w:tcW w:w="7797" w:type="dxa"/>
            <w:gridSpan w:val="4"/>
            <w:tcBorders>
              <w:top w:val="nil"/>
              <w:left w:val="nil"/>
              <w:bottom w:val="nil"/>
              <w:right w:val="nil"/>
            </w:tcBorders>
            <w:vAlign w:val="center"/>
          </w:tcPr>
          <w:p w:rsidR="004C7679" w:rsidRPr="004C7679" w:rsidRDefault="00FA7622" w:rsidP="00FA7622">
            <w:pPr>
              <w:tabs>
                <w:tab w:val="center" w:pos="4677"/>
                <w:tab w:val="right" w:pos="9355"/>
              </w:tabs>
              <w:rPr>
                <w:rFonts w:ascii="Arial" w:eastAsia="Calibri" w:hAnsi="Arial" w:cs="Arial"/>
                <w:b/>
                <w:sz w:val="22"/>
                <w:szCs w:val="22"/>
                <w:bdr w:val="none" w:sz="0" w:space="0" w:color="auto"/>
                <w:lang w:val="en-US" w:eastAsia="en-US"/>
              </w:rPr>
            </w:pPr>
            <w:r>
              <w:rPr>
                <w:rFonts w:ascii="Arial" w:eastAsia="Calibri" w:hAnsi="Arial" w:cs="Arial"/>
                <w:b/>
                <w:sz w:val="22"/>
                <w:szCs w:val="22"/>
                <w:bdr w:val="none" w:sz="0" w:space="0" w:color="auto"/>
                <w:lang w:eastAsia="en-US"/>
              </w:rPr>
              <w:t>30</w:t>
            </w:r>
            <w:r w:rsidR="004C7679" w:rsidRPr="004C7679">
              <w:rPr>
                <w:rFonts w:ascii="Arial" w:eastAsia="Calibri" w:hAnsi="Arial" w:cs="Arial"/>
                <w:b/>
                <w:sz w:val="22"/>
                <w:szCs w:val="22"/>
                <w:bdr w:val="none" w:sz="0" w:space="0" w:color="auto"/>
                <w:lang w:eastAsia="en-US"/>
              </w:rPr>
              <w:t xml:space="preserve"> </w:t>
            </w:r>
            <w:r w:rsidR="002210C2">
              <w:rPr>
                <w:rFonts w:ascii="Arial" w:eastAsia="Calibri" w:hAnsi="Arial" w:cs="Arial"/>
                <w:b/>
                <w:sz w:val="22"/>
                <w:szCs w:val="22"/>
                <w:bdr w:val="none" w:sz="0" w:space="0" w:color="auto"/>
                <w:lang w:eastAsia="en-US"/>
              </w:rPr>
              <w:t>January</w:t>
            </w:r>
            <w:r w:rsidR="004C7679" w:rsidRPr="004C7679">
              <w:rPr>
                <w:rFonts w:ascii="Arial" w:eastAsia="Calibri" w:hAnsi="Arial" w:cs="Arial"/>
                <w:b/>
                <w:sz w:val="22"/>
                <w:szCs w:val="22"/>
                <w:bdr w:val="none" w:sz="0" w:space="0" w:color="auto"/>
                <w:lang w:eastAsia="en-US"/>
              </w:rPr>
              <w:t xml:space="preserve"> 2014</w:t>
            </w:r>
          </w:p>
        </w:tc>
      </w:tr>
      <w:tr w:rsidR="004C7679" w:rsidRPr="004C7679" w:rsidTr="002210C2">
        <w:tblPrEx>
          <w:tblCellMar>
            <w:left w:w="108" w:type="dxa"/>
            <w:right w:w="108" w:type="dxa"/>
          </w:tblCellMar>
        </w:tblPrEx>
        <w:trPr>
          <w:gridAfter w:val="1"/>
          <w:wAfter w:w="38" w:type="dxa"/>
          <w:cantSplit/>
          <w:trHeight w:val="405"/>
          <w:jc w:val="center"/>
        </w:trPr>
        <w:tc>
          <w:tcPr>
            <w:tcW w:w="1843" w:type="dxa"/>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22"/>
                <w:szCs w:val="22"/>
                <w:bdr w:val="none" w:sz="0" w:space="0" w:color="auto"/>
                <w:lang w:val="en-GB" w:eastAsia="en-US"/>
              </w:rPr>
            </w:pPr>
            <w:r w:rsidRPr="004C7679">
              <w:rPr>
                <w:rFonts w:ascii="Arial" w:eastAsia="Calibri" w:hAnsi="Arial" w:cs="Arial"/>
                <w:b/>
                <w:sz w:val="22"/>
                <w:szCs w:val="22"/>
                <w:bdr w:val="none" w:sz="0" w:space="0" w:color="auto"/>
                <w:lang w:val="en-GB" w:eastAsia="en-US"/>
              </w:rPr>
              <w:t>Source:</w:t>
            </w:r>
          </w:p>
        </w:tc>
        <w:tc>
          <w:tcPr>
            <w:tcW w:w="7797" w:type="dxa"/>
            <w:gridSpan w:val="4"/>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22"/>
                <w:szCs w:val="22"/>
                <w:bdr w:val="none" w:sz="0" w:space="0" w:color="auto"/>
                <w:lang w:val="en-GB" w:eastAsia="en-US"/>
              </w:rPr>
            </w:pPr>
            <w:r w:rsidRPr="004C7679">
              <w:rPr>
                <w:rFonts w:ascii="Arial" w:eastAsia="Calibri" w:hAnsi="Arial" w:cs="Arial"/>
                <w:b/>
                <w:sz w:val="22"/>
                <w:szCs w:val="22"/>
                <w:bdr w:val="none" w:sz="0" w:space="0" w:color="auto"/>
                <w:lang w:val="en-GB" w:eastAsia="en-US"/>
              </w:rPr>
              <w:t>ECO</w:t>
            </w:r>
          </w:p>
        </w:tc>
      </w:tr>
      <w:tr w:rsidR="004C7679" w:rsidRPr="00FA7622" w:rsidTr="002210C2">
        <w:tblPrEx>
          <w:tblCellMar>
            <w:left w:w="108" w:type="dxa"/>
            <w:right w:w="108" w:type="dxa"/>
          </w:tblCellMar>
        </w:tblPrEx>
        <w:trPr>
          <w:gridAfter w:val="1"/>
          <w:wAfter w:w="38" w:type="dxa"/>
          <w:cantSplit/>
          <w:trHeight w:val="405"/>
          <w:jc w:val="center"/>
        </w:trPr>
        <w:tc>
          <w:tcPr>
            <w:tcW w:w="1843" w:type="dxa"/>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22"/>
                <w:szCs w:val="22"/>
                <w:bdr w:val="none" w:sz="0" w:space="0" w:color="auto"/>
                <w:lang w:val="en-GB" w:eastAsia="en-US"/>
              </w:rPr>
            </w:pPr>
            <w:r w:rsidRPr="004C7679">
              <w:rPr>
                <w:rFonts w:ascii="Arial" w:eastAsia="Calibri" w:hAnsi="Arial" w:cs="Arial"/>
                <w:b/>
                <w:sz w:val="22"/>
                <w:szCs w:val="22"/>
                <w:bdr w:val="none" w:sz="0" w:space="0" w:color="auto"/>
                <w:lang w:val="en-GB" w:eastAsia="en-US"/>
              </w:rPr>
              <w:t xml:space="preserve">Subject:   </w:t>
            </w:r>
          </w:p>
        </w:tc>
        <w:tc>
          <w:tcPr>
            <w:tcW w:w="7797" w:type="dxa"/>
            <w:gridSpan w:val="4"/>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22"/>
                <w:szCs w:val="22"/>
                <w:bdr w:val="none" w:sz="0" w:space="0" w:color="auto"/>
                <w:lang w:val="en-GB" w:eastAsia="en-US"/>
              </w:rPr>
            </w:pPr>
            <w:r w:rsidRPr="004C7679">
              <w:rPr>
                <w:rFonts w:ascii="Arial" w:eastAsia="Calibri" w:hAnsi="Arial" w:cs="Arial"/>
                <w:b/>
                <w:sz w:val="22"/>
                <w:szCs w:val="22"/>
                <w:bdr w:val="none" w:sz="0" w:space="0" w:color="auto"/>
                <w:lang w:val="en-GB" w:eastAsia="en-US"/>
              </w:rPr>
              <w:t>ECO S</w:t>
            </w:r>
            <w:r>
              <w:rPr>
                <w:rFonts w:ascii="Arial" w:eastAsia="Calibri" w:hAnsi="Arial" w:cs="Arial"/>
                <w:b/>
                <w:sz w:val="22"/>
                <w:szCs w:val="22"/>
                <w:bdr w:val="none" w:sz="0" w:space="0" w:color="auto"/>
                <w:lang w:val="en-GB" w:eastAsia="en-US"/>
              </w:rPr>
              <w:t xml:space="preserve">ummary of the WGFM Questionnaire </w:t>
            </w:r>
            <w:r w:rsidRPr="004C7679">
              <w:rPr>
                <w:rFonts w:ascii="Arial" w:eastAsia="Calibri" w:hAnsi="Arial" w:cs="Arial"/>
                <w:b/>
                <w:sz w:val="22"/>
                <w:szCs w:val="22"/>
                <w:bdr w:val="none" w:sz="0" w:space="0" w:color="auto"/>
                <w:lang w:val="en-GB" w:eastAsia="en-US"/>
              </w:rPr>
              <w:t>to CEPT administrations to collect information about authorisations for the Iridium mobile satellite system and earth stations under control of the Iridium system in CEPT countries</w:t>
            </w:r>
          </w:p>
        </w:tc>
      </w:tr>
      <w:tr w:rsidR="004C7679" w:rsidRPr="004C7679" w:rsidTr="002210C2">
        <w:tblPrEx>
          <w:tblCellMar>
            <w:left w:w="108" w:type="dxa"/>
            <w:right w:w="108" w:type="dxa"/>
          </w:tblCellMar>
        </w:tblPrEx>
        <w:trPr>
          <w:gridAfter w:val="1"/>
          <w:wAfter w:w="38" w:type="dxa"/>
          <w:cantSplit/>
          <w:trHeight w:val="1078"/>
          <w:jc w:val="center"/>
        </w:trPr>
        <w:tc>
          <w:tcPr>
            <w:tcW w:w="9640" w:type="dxa"/>
            <w:gridSpan w:val="5"/>
            <w:tcBorders>
              <w:top w:val="nil"/>
              <w:left w:val="nil"/>
              <w:bottom w:val="nil"/>
              <w:right w:val="nil"/>
            </w:tcBorders>
            <w:vAlign w:val="center"/>
          </w:tcPr>
          <w:p w:rsidR="004C7679" w:rsidRPr="004C7679" w:rsidRDefault="004C7679" w:rsidP="004C7679">
            <w:pPr>
              <w:spacing w:after="200" w:line="276" w:lineRule="auto"/>
              <w:rPr>
                <w:rFonts w:ascii="Arial" w:eastAsia="Calibri" w:hAnsi="Arial" w:cs="Arial"/>
                <w:b/>
                <w:sz w:val="22"/>
                <w:bdr w:val="none" w:sz="0" w:space="0" w:color="auto"/>
                <w:lang w:val="en-GB" w:eastAsia="en-US"/>
              </w:rPr>
            </w:pPr>
            <w:r w:rsidRPr="004C7679">
              <w:rPr>
                <w:rFonts w:ascii="Calibri" w:eastAsia="Calibri" w:hAnsi="Calibri"/>
                <w:noProof/>
                <w:sz w:val="22"/>
                <w:szCs w:val="22"/>
                <w:bdr w:val="none" w:sz="0" w:space="0" w:color="auto"/>
              </w:rPr>
              <mc:AlternateContent>
                <mc:Choice Requires="wps">
                  <w:drawing>
                    <wp:anchor distT="0" distB="0" distL="114300" distR="114300" simplePos="0" relativeHeight="251659264" behindDoc="1" locked="0" layoutInCell="1" allowOverlap="1" wp14:anchorId="3377D50E" wp14:editId="17355115">
                      <wp:simplePos x="0" y="0"/>
                      <wp:positionH relativeFrom="column">
                        <wp:posOffset>2873375</wp:posOffset>
                      </wp:positionH>
                      <wp:positionV relativeFrom="paragraph">
                        <wp:posOffset>239395</wp:posOffset>
                      </wp:positionV>
                      <wp:extent cx="457200" cy="271145"/>
                      <wp:effectExtent l="0" t="0" r="19050" b="14605"/>
                      <wp:wrapTight wrapText="bothSides">
                        <wp:wrapPolygon edited="0">
                          <wp:start x="0" y="0"/>
                          <wp:lineTo x="0" y="21246"/>
                          <wp:lineTo x="21600" y="21246"/>
                          <wp:lineTo x="2160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8077D5" w:rsidRPr="00080FC6" w:rsidRDefault="008077D5" w:rsidP="004C7679">
                                  <w:pPr>
                                    <w:jc w:val="center"/>
                                    <w:rPr>
                                      <w:rFonts w:cs="Arial"/>
                                    </w:rPr>
                                  </w:pPr>
                                  <w:r>
                                    <w:rPr>
                                      <w:rFonts w:cs="Arial"/>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25pt;margin-top:18.85pt;width:36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sh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x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oBVdkt8AAAAJAQAADwAAAGRycy9kb3ducmV2Lnht&#10;bEyPwU7DMAyG70i8Q2QkLoildO06StMJIYHgBgPBNWu8tqJxSpJ15e0xJzja/vX5+6vNbAcxoQ+9&#10;IwVXiwQEUuNMT62Ct9f7yzWIEDUZPThCBd8YYFOfnlS6NO5ILzhtYysYQqHUCroYx1LK0HRodVi4&#10;EYlve+etjjz6Vhqvjwy3g0yTZCWt7ok/dHrEuw6bz+3BKlhnj9NHeFo+vzer/XAdL4rp4csrdX42&#10;396AiDjHvzD86rM61Oy0cwcyQQwKsjzNOapgWRQgOJCnGS92TE8ykHUl/zeofwAAAP//AwBQSwEC&#10;LQAUAAYACAAAACEAtoM4kv4AAADhAQAAEwAAAAAAAAAAAAAAAAAAAAAAW0NvbnRlbnRfVHlwZXNd&#10;LnhtbFBLAQItABQABgAIAAAAIQA4/SH/1gAAAJQBAAALAAAAAAAAAAAAAAAAAC8BAABfcmVscy8u&#10;cmVsc1BLAQItABQABgAIAAAAIQA6V8shJwIAAE8EAAAOAAAAAAAAAAAAAAAAAC4CAABkcnMvZTJv&#10;RG9jLnhtbFBLAQItABQABgAIAAAAIQCgFV2S3wAAAAkBAAAPAAAAAAAAAAAAAAAAAIEEAABkcnMv&#10;ZG93bnJldi54bWxQSwUGAAAAAAQABADzAAAAjQUAAAAA&#10;">
                      <v:textbox>
                        <w:txbxContent>
                          <w:p w:rsidR="008077D5" w:rsidRPr="00080FC6" w:rsidRDefault="008077D5" w:rsidP="004C7679">
                            <w:pPr>
                              <w:jc w:val="center"/>
                              <w:rPr>
                                <w:rFonts w:cs="Arial"/>
                              </w:rPr>
                            </w:pPr>
                            <w:r>
                              <w:rPr>
                                <w:rFonts w:cs="Arial"/>
                              </w:rPr>
                              <w:t>N</w:t>
                            </w:r>
                          </w:p>
                        </w:txbxContent>
                      </v:textbox>
                      <w10:wrap type="tight"/>
                    </v:shape>
                  </w:pict>
                </mc:Fallback>
              </mc:AlternateContent>
            </w:r>
          </w:p>
          <w:p w:rsidR="004C7679" w:rsidRPr="004C7679" w:rsidRDefault="004C7679" w:rsidP="004C7679">
            <w:pPr>
              <w:spacing w:line="276" w:lineRule="auto"/>
              <w:rPr>
                <w:rFonts w:ascii="Arial" w:eastAsia="Calibri" w:hAnsi="Arial" w:cs="Arial"/>
                <w:sz w:val="22"/>
                <w:szCs w:val="22"/>
                <w:bdr w:val="none" w:sz="0" w:space="0" w:color="auto"/>
                <w:lang w:val="ru-RU" w:eastAsia="en-US"/>
              </w:rPr>
            </w:pPr>
            <w:r w:rsidRPr="004C7679">
              <w:rPr>
                <w:rFonts w:ascii="Arial" w:eastAsia="Calibri" w:hAnsi="Arial" w:cs="Arial"/>
                <w:sz w:val="22"/>
                <w:szCs w:val="22"/>
                <w:bdr w:val="none" w:sz="0" w:space="0" w:color="auto"/>
                <w:lang w:val="en-GB" w:eastAsia="en-US"/>
              </w:rPr>
              <w:t xml:space="preserve">Group membership required </w:t>
            </w:r>
            <w:proofErr w:type="gramStart"/>
            <w:r w:rsidRPr="004C7679">
              <w:rPr>
                <w:rFonts w:ascii="Arial" w:eastAsia="Calibri" w:hAnsi="Arial" w:cs="Arial"/>
                <w:sz w:val="22"/>
                <w:szCs w:val="22"/>
                <w:bdr w:val="none" w:sz="0" w:space="0" w:color="auto"/>
                <w:lang w:val="en-GB" w:eastAsia="en-US"/>
              </w:rPr>
              <w:t>to read</w:t>
            </w:r>
            <w:proofErr w:type="gramEnd"/>
            <w:r w:rsidRPr="004C7679">
              <w:rPr>
                <w:rFonts w:ascii="Arial" w:eastAsia="Calibri" w:hAnsi="Arial" w:cs="Arial"/>
                <w:sz w:val="22"/>
                <w:szCs w:val="22"/>
                <w:bdr w:val="none" w:sz="0" w:space="0" w:color="auto"/>
                <w:lang w:val="en-GB" w:eastAsia="en-US"/>
              </w:rPr>
              <w:t xml:space="preserve">? (Y/N) </w:t>
            </w:r>
          </w:p>
          <w:p w:rsidR="004C7679" w:rsidRPr="004C7679" w:rsidRDefault="004C7679" w:rsidP="004C7679">
            <w:pPr>
              <w:tabs>
                <w:tab w:val="center" w:pos="4677"/>
                <w:tab w:val="right" w:pos="9355"/>
              </w:tabs>
              <w:rPr>
                <w:rFonts w:ascii="Arial" w:eastAsia="Calibri" w:hAnsi="Arial" w:cs="Arial"/>
                <w:b/>
                <w:sz w:val="22"/>
                <w:szCs w:val="22"/>
                <w:bdr w:val="none" w:sz="0" w:space="0" w:color="auto"/>
                <w:lang w:val="en-GB" w:eastAsia="de-DE"/>
              </w:rPr>
            </w:pPr>
          </w:p>
        </w:tc>
      </w:tr>
      <w:tr w:rsidR="004C7679" w:rsidRPr="004C7679" w:rsidTr="002210C2">
        <w:tblPrEx>
          <w:tblCellMar>
            <w:left w:w="108" w:type="dxa"/>
            <w:right w:w="108" w:type="dxa"/>
          </w:tblCellMar>
        </w:tblPrEx>
        <w:trPr>
          <w:gridAfter w:val="1"/>
          <w:wAfter w:w="38" w:type="dxa"/>
          <w:cantSplit/>
          <w:trHeight w:hRule="exact" w:val="74"/>
          <w:jc w:val="center"/>
        </w:trPr>
        <w:tc>
          <w:tcPr>
            <w:tcW w:w="9640" w:type="dxa"/>
            <w:gridSpan w:val="5"/>
            <w:tcBorders>
              <w:top w:val="nil"/>
              <w:left w:val="nil"/>
              <w:bottom w:val="nil"/>
              <w:right w:val="nil"/>
            </w:tcBorders>
            <w:vAlign w:val="center"/>
          </w:tcPr>
          <w:p w:rsidR="004C7679" w:rsidRPr="004C7679" w:rsidRDefault="004C7679" w:rsidP="004C7679">
            <w:pPr>
              <w:tabs>
                <w:tab w:val="center" w:pos="4677"/>
                <w:tab w:val="right" w:pos="9355"/>
              </w:tabs>
              <w:rPr>
                <w:rFonts w:ascii="Arial" w:eastAsia="Calibri" w:hAnsi="Arial" w:cs="Arial"/>
                <w:b/>
                <w:sz w:val="22"/>
                <w:szCs w:val="22"/>
                <w:bdr w:val="none" w:sz="0" w:space="0" w:color="auto"/>
                <w:lang w:val="en-GB" w:eastAsia="de-DE"/>
              </w:rPr>
            </w:pPr>
          </w:p>
          <w:p w:rsidR="004C7679" w:rsidRPr="004C7679" w:rsidRDefault="004C7679" w:rsidP="004C7679">
            <w:pPr>
              <w:tabs>
                <w:tab w:val="center" w:pos="4677"/>
                <w:tab w:val="right" w:pos="9355"/>
              </w:tabs>
              <w:rPr>
                <w:rFonts w:ascii="Arial" w:eastAsia="Calibri" w:hAnsi="Arial" w:cs="Arial"/>
                <w:b/>
                <w:sz w:val="8"/>
                <w:szCs w:val="22"/>
                <w:bdr w:val="none" w:sz="0" w:space="0" w:color="auto"/>
                <w:lang w:val="en-GB" w:eastAsia="de-DE"/>
              </w:rPr>
            </w:pPr>
          </w:p>
        </w:tc>
      </w:tr>
      <w:tr w:rsidR="004C7679" w:rsidRPr="00FA7622" w:rsidTr="00221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jc w:val="center"/>
        </w:trPr>
        <w:tc>
          <w:tcPr>
            <w:tcW w:w="9640" w:type="dxa"/>
            <w:gridSpan w:val="6"/>
            <w:tcBorders>
              <w:bottom w:val="nil"/>
            </w:tcBorders>
          </w:tcPr>
          <w:p w:rsidR="004C7679" w:rsidRPr="004C7679" w:rsidRDefault="004C7679" w:rsidP="004C7679">
            <w:pPr>
              <w:tabs>
                <w:tab w:val="center" w:pos="4677"/>
                <w:tab w:val="right" w:pos="9355"/>
              </w:tabs>
              <w:spacing w:before="120" w:after="120"/>
              <w:rPr>
                <w:rFonts w:ascii="Arial" w:eastAsia="Calibri" w:hAnsi="Arial" w:cs="Arial"/>
                <w:b/>
                <w:sz w:val="22"/>
                <w:szCs w:val="22"/>
                <w:bdr w:val="none" w:sz="0" w:space="0" w:color="auto"/>
                <w:lang w:val="en-GB" w:eastAsia="en-US"/>
              </w:rPr>
            </w:pPr>
            <w:r w:rsidRPr="004C7679">
              <w:rPr>
                <w:rFonts w:ascii="Arial" w:eastAsia="Calibri" w:hAnsi="Arial" w:cs="Arial"/>
                <w:b/>
                <w:sz w:val="22"/>
                <w:szCs w:val="22"/>
                <w:bdr w:val="none" w:sz="0" w:space="0" w:color="auto"/>
                <w:lang w:val="en-GB" w:eastAsia="en-US"/>
              </w:rPr>
              <w:t xml:space="preserve">Summary: </w:t>
            </w:r>
          </w:p>
          <w:p w:rsidR="004C7679" w:rsidRPr="004C7679" w:rsidRDefault="004C7679" w:rsidP="00250420">
            <w:pPr>
              <w:rPr>
                <w:rFonts w:ascii="Arial" w:eastAsia="Calibri" w:hAnsi="Arial" w:cs="Arial"/>
                <w:b/>
                <w:sz w:val="22"/>
                <w:szCs w:val="22"/>
                <w:bdr w:val="none" w:sz="0" w:space="0" w:color="auto"/>
                <w:lang w:val="en-GB" w:eastAsia="en-US"/>
              </w:rPr>
            </w:pPr>
            <w:r w:rsidRPr="004C7679">
              <w:rPr>
                <w:rFonts w:ascii="Arial" w:hAnsi="Arial" w:cs="Arial"/>
                <w:sz w:val="22"/>
                <w:szCs w:val="22"/>
                <w:bdr w:val="none" w:sz="0" w:space="0" w:color="auto"/>
                <w:lang w:val="en-GB" w:eastAsia="en-US"/>
              </w:rPr>
              <w:t>By 2</w:t>
            </w:r>
            <w:r w:rsidR="00250420">
              <w:rPr>
                <w:rFonts w:ascii="Arial" w:hAnsi="Arial" w:cs="Arial"/>
                <w:sz w:val="22"/>
                <w:szCs w:val="22"/>
                <w:bdr w:val="none" w:sz="0" w:space="0" w:color="auto"/>
                <w:lang w:val="en-GB" w:eastAsia="en-US"/>
              </w:rPr>
              <w:t>3</w:t>
            </w:r>
            <w:r w:rsidRPr="004C7679">
              <w:rPr>
                <w:rFonts w:ascii="Arial" w:hAnsi="Arial" w:cs="Arial"/>
                <w:sz w:val="22"/>
                <w:szCs w:val="22"/>
                <w:bdr w:val="none" w:sz="0" w:space="0" w:color="auto"/>
                <w:lang w:val="en-GB" w:eastAsia="en-US"/>
              </w:rPr>
              <w:t xml:space="preserve"> December 2014, a total of 3</w:t>
            </w:r>
            <w:r w:rsidR="00250420">
              <w:rPr>
                <w:rFonts w:ascii="Arial" w:hAnsi="Arial" w:cs="Arial"/>
                <w:sz w:val="22"/>
                <w:szCs w:val="22"/>
                <w:bdr w:val="none" w:sz="0" w:space="0" w:color="auto"/>
                <w:lang w:val="en-GB" w:eastAsia="en-US"/>
              </w:rPr>
              <w:t>4</w:t>
            </w:r>
            <w:r w:rsidRPr="004C7679">
              <w:rPr>
                <w:rFonts w:ascii="Arial" w:hAnsi="Arial" w:cs="Arial"/>
                <w:sz w:val="22"/>
                <w:szCs w:val="22"/>
                <w:bdr w:val="none" w:sz="0" w:space="0" w:color="auto"/>
                <w:lang w:val="en-GB" w:eastAsia="en-US"/>
              </w:rPr>
              <w:t xml:space="preserve"> </w:t>
            </w:r>
            <w:r>
              <w:rPr>
                <w:rFonts w:ascii="Arial" w:hAnsi="Arial" w:cs="Arial"/>
                <w:sz w:val="22"/>
                <w:szCs w:val="22"/>
                <w:bdr w:val="none" w:sz="0" w:space="0" w:color="auto"/>
                <w:lang w:val="en-GB" w:eastAsia="en-US"/>
              </w:rPr>
              <w:t>administrations</w:t>
            </w:r>
            <w:r w:rsidRPr="004C7679">
              <w:rPr>
                <w:rFonts w:ascii="Arial" w:hAnsi="Arial" w:cs="Arial"/>
                <w:sz w:val="22"/>
                <w:szCs w:val="22"/>
                <w:bdr w:val="none" w:sz="0" w:space="0" w:color="auto"/>
                <w:lang w:val="en-GB" w:eastAsia="en-US"/>
              </w:rPr>
              <w:t xml:space="preserve"> have provided an answer to the questionnaire.</w:t>
            </w:r>
          </w:p>
        </w:tc>
      </w:tr>
      <w:tr w:rsidR="00B63A75" w:rsidRPr="00FA7622" w:rsidTr="00221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jc w:val="center"/>
        </w:trPr>
        <w:tc>
          <w:tcPr>
            <w:tcW w:w="9640" w:type="dxa"/>
            <w:gridSpan w:val="6"/>
            <w:tcBorders>
              <w:bottom w:val="nil"/>
            </w:tcBorders>
          </w:tcPr>
          <w:p w:rsidR="00FA7622" w:rsidRDefault="00B63A75" w:rsidP="00FA7622">
            <w:pPr>
              <w:tabs>
                <w:tab w:val="center" w:pos="4677"/>
                <w:tab w:val="right" w:pos="9355"/>
              </w:tabs>
              <w:spacing w:before="120" w:after="120"/>
              <w:rPr>
                <w:rFonts w:ascii="Arial" w:eastAsia="Calibri" w:hAnsi="Arial" w:cs="Arial"/>
                <w:b/>
                <w:sz w:val="22"/>
                <w:szCs w:val="22"/>
                <w:bdr w:val="none" w:sz="0" w:space="0" w:color="auto"/>
                <w:lang w:val="en-GB" w:eastAsia="en-US"/>
              </w:rPr>
            </w:pPr>
            <w:r>
              <w:rPr>
                <w:rFonts w:ascii="Arial" w:eastAsia="Calibri" w:hAnsi="Arial" w:cs="Arial"/>
                <w:b/>
                <w:sz w:val="22"/>
                <w:szCs w:val="22"/>
                <w:bdr w:val="none" w:sz="0" w:space="0" w:color="auto"/>
                <w:lang w:val="en-GB" w:eastAsia="en-US"/>
              </w:rPr>
              <w:t xml:space="preserve">Proposal: </w:t>
            </w:r>
            <w:r w:rsidRPr="00B63A75">
              <w:rPr>
                <w:rFonts w:ascii="Arial" w:eastAsia="Calibri" w:hAnsi="Arial" w:cs="Arial"/>
                <w:sz w:val="22"/>
                <w:szCs w:val="22"/>
                <w:bdr w:val="none" w:sz="0" w:space="0" w:color="auto"/>
                <w:lang w:val="en-GB" w:eastAsia="en-US"/>
              </w:rPr>
              <w:t>WGFM and PT FM44 to consider the collected information.</w:t>
            </w:r>
            <w:r>
              <w:rPr>
                <w:rFonts w:ascii="Arial" w:eastAsia="Calibri" w:hAnsi="Arial" w:cs="Arial"/>
                <w:b/>
                <w:sz w:val="22"/>
                <w:szCs w:val="22"/>
                <w:bdr w:val="none" w:sz="0" w:space="0" w:color="auto"/>
                <w:lang w:val="en-GB" w:eastAsia="en-US"/>
              </w:rPr>
              <w:t xml:space="preserve"> </w:t>
            </w:r>
          </w:p>
          <w:p w:rsidR="00B63A75" w:rsidRPr="004C7679" w:rsidRDefault="00FA7622" w:rsidP="00FA7622">
            <w:pPr>
              <w:tabs>
                <w:tab w:val="center" w:pos="4677"/>
                <w:tab w:val="right" w:pos="9355"/>
              </w:tabs>
              <w:spacing w:before="120" w:after="120"/>
              <w:rPr>
                <w:rFonts w:ascii="Arial" w:eastAsia="Calibri" w:hAnsi="Arial" w:cs="Arial"/>
                <w:b/>
                <w:sz w:val="22"/>
                <w:szCs w:val="22"/>
                <w:bdr w:val="none" w:sz="0" w:space="0" w:color="auto"/>
                <w:lang w:val="en-GB" w:eastAsia="en-US"/>
              </w:rPr>
            </w:pPr>
            <w:r>
              <w:rPr>
                <w:rFonts w:ascii="Arial" w:eastAsia="Calibri" w:hAnsi="Arial" w:cs="Arial"/>
                <w:b/>
                <w:sz w:val="22"/>
                <w:szCs w:val="22"/>
                <w:bdr w:val="none" w:sz="0" w:space="0" w:color="auto"/>
                <w:lang w:val="en-GB" w:eastAsia="en-US"/>
              </w:rPr>
              <w:t xml:space="preserve">Note ECO: this document is the result after review in PT FM44. </w:t>
            </w:r>
          </w:p>
        </w:tc>
      </w:tr>
      <w:tr w:rsidR="004C7679" w:rsidRPr="00FA7622" w:rsidTr="00221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jc w:val="center"/>
        </w:trPr>
        <w:tc>
          <w:tcPr>
            <w:tcW w:w="9640" w:type="dxa"/>
            <w:gridSpan w:val="6"/>
            <w:tcBorders>
              <w:top w:val="nil"/>
              <w:bottom w:val="single" w:sz="4" w:space="0" w:color="auto"/>
            </w:tcBorders>
          </w:tcPr>
          <w:p w:rsidR="004C7679" w:rsidRPr="004C7679" w:rsidRDefault="004C7679" w:rsidP="004C7679">
            <w:pPr>
              <w:autoSpaceDE w:val="0"/>
              <w:autoSpaceDN w:val="0"/>
              <w:jc w:val="both"/>
              <w:rPr>
                <w:rFonts w:ascii="Arial" w:eastAsia="Calibri" w:hAnsi="Arial" w:cs="Arial"/>
                <w:sz w:val="22"/>
                <w:szCs w:val="22"/>
                <w:bdr w:val="none" w:sz="0" w:space="0" w:color="auto"/>
                <w:lang w:val="en-GB" w:eastAsia="en-US"/>
              </w:rPr>
            </w:pPr>
          </w:p>
        </w:tc>
      </w:tr>
    </w:tbl>
    <w:p w:rsidR="004C7679" w:rsidRDefault="004C7679" w:rsidP="004C7679">
      <w:pPr>
        <w:rPr>
          <w:rFonts w:eastAsia="Verdana"/>
          <w:lang w:val="en-US"/>
        </w:rPr>
      </w:pPr>
    </w:p>
    <w:p w:rsidR="004C7679" w:rsidRPr="004C7679" w:rsidRDefault="004C7679" w:rsidP="004C7679">
      <w:pPr>
        <w:rPr>
          <w:rFonts w:eastAsia="Verdana"/>
          <w:lang w:val="en-US"/>
        </w:rPr>
      </w:pPr>
    </w:p>
    <w:p w:rsidR="0001038F" w:rsidRPr="00E24DF7" w:rsidRDefault="00FD6D0C">
      <w:pPr>
        <w:pStyle w:val="Heading1"/>
        <w:spacing w:before="0" w:after="241"/>
        <w:rPr>
          <w:sz w:val="28"/>
          <w:szCs w:val="28"/>
          <w:lang w:val="en-US"/>
        </w:rPr>
      </w:pPr>
      <w:r w:rsidRPr="00E24DF7">
        <w:rPr>
          <w:rFonts w:ascii="Verdana" w:eastAsia="Verdana" w:hAnsi="Verdana" w:cs="Verdana"/>
          <w:sz w:val="28"/>
          <w:szCs w:val="28"/>
          <w:lang w:val="en-US"/>
        </w:rPr>
        <w:t xml:space="preserve">Questionnaire to be submitted to CEPT administrations to collect information about authorisations for the Iridium mobile satellite system and earth stations under control of the Iridium system in CEPT countries </w:t>
      </w:r>
    </w:p>
    <w:p w:rsidR="0001038F" w:rsidRPr="00BF24FC" w:rsidRDefault="00FD6D0C">
      <w:pPr>
        <w:rPr>
          <w:lang w:val="en-US"/>
        </w:rPr>
      </w:pPr>
      <w:r w:rsidRPr="00BF24FC">
        <w:rPr>
          <w:rFonts w:ascii="Verdana" w:eastAsia="Verdana" w:hAnsi="Verdana" w:cs="Verdana"/>
          <w:b/>
          <w:bCs/>
          <w:sz w:val="18"/>
          <w:szCs w:val="18"/>
          <w:lang w:val="en-US"/>
        </w:rPr>
        <w:t xml:space="preserve">Group: </w:t>
      </w:r>
      <w:r w:rsidRPr="00BF24FC">
        <w:rPr>
          <w:rFonts w:ascii="Verdana" w:eastAsia="Verdana" w:hAnsi="Verdana" w:cs="Verdana"/>
          <w:sz w:val="18"/>
          <w:szCs w:val="18"/>
          <w:lang w:val="en-US"/>
        </w:rPr>
        <w:t xml:space="preserve">WG FM, FM 44 </w:t>
      </w:r>
      <w:r w:rsidRPr="00BF24FC">
        <w:rPr>
          <w:lang w:val="en-US"/>
        </w:rPr>
        <w:br/>
      </w:r>
      <w:r w:rsidRPr="00BF24FC">
        <w:rPr>
          <w:rFonts w:ascii="Verdana" w:eastAsia="Verdana" w:hAnsi="Verdana" w:cs="Verdana"/>
          <w:b/>
          <w:bCs/>
          <w:sz w:val="18"/>
          <w:szCs w:val="18"/>
          <w:lang w:val="en-US"/>
        </w:rPr>
        <w:t xml:space="preserve">Submission dates: </w:t>
      </w:r>
      <w:r w:rsidRPr="00BF24FC">
        <w:rPr>
          <w:rFonts w:ascii="Verdana" w:eastAsia="Verdana" w:hAnsi="Verdana" w:cs="Verdana"/>
          <w:sz w:val="18"/>
          <w:szCs w:val="18"/>
          <w:lang w:val="en-US"/>
        </w:rPr>
        <w:t xml:space="preserve">14-10-2014 - 19-12-2014 </w:t>
      </w:r>
      <w:r w:rsidRPr="00BF24FC">
        <w:rPr>
          <w:lang w:val="en-US"/>
        </w:rPr>
        <w:br/>
      </w:r>
      <w:r w:rsidRPr="00BF24FC">
        <w:rPr>
          <w:rFonts w:ascii="Verdana" w:eastAsia="Verdana" w:hAnsi="Verdana" w:cs="Verdana"/>
          <w:b/>
          <w:bCs/>
          <w:sz w:val="18"/>
          <w:szCs w:val="18"/>
          <w:lang w:val="en-US"/>
        </w:rPr>
        <w:t xml:space="preserve">Introduction: </w:t>
      </w:r>
    </w:p>
    <w:p w:rsidR="0001038F" w:rsidRPr="00BF24FC" w:rsidRDefault="00FD6D0C">
      <w:pPr>
        <w:spacing w:before="180" w:after="180"/>
        <w:rPr>
          <w:lang w:val="en-US"/>
        </w:rPr>
      </w:pPr>
      <w:r w:rsidRPr="00BF24FC">
        <w:rPr>
          <w:rFonts w:ascii="Verdana" w:eastAsia="Verdana" w:hAnsi="Verdana" w:cs="Verdana"/>
          <w:sz w:val="18"/>
          <w:szCs w:val="18"/>
          <w:lang w:val="en-US"/>
        </w:rPr>
        <w:t xml:space="preserve">ECC Decision (09)02 reflects the provisions already made by CEPT for a common approach to the mobile satellite service (MSS) allocations and to harmonise the use of spectrum within the bands 1610- 1626.5 MHz and 2483.5-2500 MHz for Mobile Earth Stations (MES’s). </w:t>
      </w:r>
    </w:p>
    <w:p w:rsidR="004C7679" w:rsidRDefault="004C7679">
      <w:pPr>
        <w:spacing w:before="180" w:after="180"/>
        <w:rPr>
          <w:rFonts w:ascii="Verdana" w:eastAsia="Verdana" w:hAnsi="Verdana" w:cs="Verdana"/>
          <w:sz w:val="18"/>
          <w:szCs w:val="18"/>
          <w:lang w:val="en-US"/>
        </w:rPr>
      </w:pPr>
    </w:p>
    <w:p w:rsidR="0001038F" w:rsidRPr="00BF24FC" w:rsidRDefault="00FD6D0C">
      <w:pPr>
        <w:spacing w:before="180" w:after="180"/>
        <w:rPr>
          <w:lang w:val="en-US"/>
        </w:rPr>
      </w:pPr>
      <w:r w:rsidRPr="00BF24FC">
        <w:rPr>
          <w:rFonts w:ascii="Verdana" w:eastAsia="Verdana" w:hAnsi="Verdana" w:cs="Verdana"/>
          <w:sz w:val="18"/>
          <w:szCs w:val="18"/>
          <w:lang w:val="en-US"/>
        </w:rPr>
        <w:lastRenderedPageBreak/>
        <w:t>The ECC/DEC</w:t>
      </w:r>
      <w:proofErr w:type="gramStart"/>
      <w:r w:rsidRPr="00BF24FC">
        <w:rPr>
          <w:rFonts w:ascii="Verdana" w:eastAsia="Verdana" w:hAnsi="Verdana" w:cs="Verdana"/>
          <w:sz w:val="18"/>
          <w:szCs w:val="18"/>
          <w:lang w:val="en-US"/>
        </w:rPr>
        <w:t>/(</w:t>
      </w:r>
      <w:proofErr w:type="gramEnd"/>
      <w:r w:rsidRPr="00BF24FC">
        <w:rPr>
          <w:rFonts w:ascii="Verdana" w:eastAsia="Verdana" w:hAnsi="Verdana" w:cs="Verdana"/>
          <w:sz w:val="18"/>
          <w:szCs w:val="18"/>
          <w:lang w:val="en-US"/>
        </w:rPr>
        <w:t xml:space="preserve">09)02 inter alia includes in decides 4 (excerpt): </w:t>
      </w:r>
    </w:p>
    <w:p w:rsidR="0001038F" w:rsidRPr="00BF24FC" w:rsidRDefault="00FD6D0C">
      <w:pPr>
        <w:spacing w:before="180" w:after="180"/>
        <w:rPr>
          <w:lang w:val="en-US"/>
        </w:rPr>
      </w:pPr>
      <w:proofErr w:type="gramStart"/>
      <w:r w:rsidRPr="00BF24FC">
        <w:rPr>
          <w:rFonts w:ascii="Verdana" w:eastAsia="Verdana" w:hAnsi="Verdana" w:cs="Verdana"/>
          <w:i/>
          <w:iCs/>
          <w:sz w:val="18"/>
          <w:szCs w:val="18"/>
          <w:lang w:val="en-US"/>
        </w:rPr>
        <w:t>that</w:t>
      </w:r>
      <w:proofErr w:type="gramEnd"/>
      <w:r w:rsidRPr="00BF24FC">
        <w:rPr>
          <w:rFonts w:ascii="Verdana" w:eastAsia="Verdana" w:hAnsi="Verdana" w:cs="Verdana"/>
          <w:i/>
          <w:iCs/>
          <w:sz w:val="18"/>
          <w:szCs w:val="18"/>
          <w:lang w:val="en-US"/>
        </w:rPr>
        <w:t>, after 1 January 2016, in order to protect the Radio Astronomy service in the frequency band 1610.6- 1613.8 MHz, administrations shall only authorise operation of mobile earth stations under the control of MSS systems provided the following conditions are met:</w:t>
      </w:r>
    </w:p>
    <w:p w:rsidR="0001038F" w:rsidRPr="00BF24FC" w:rsidRDefault="00FD6D0C">
      <w:pPr>
        <w:spacing w:before="180" w:after="180"/>
        <w:rPr>
          <w:lang w:val="en-US"/>
        </w:rPr>
      </w:pPr>
      <w:r w:rsidRPr="00BF24FC">
        <w:rPr>
          <w:rFonts w:ascii="Verdana" w:eastAsia="Verdana" w:hAnsi="Verdana" w:cs="Verdana"/>
          <w:i/>
          <w:iCs/>
          <w:sz w:val="18"/>
          <w:szCs w:val="18"/>
          <w:lang w:val="en-US"/>
        </w:rPr>
        <w:t xml:space="preserve">that in accordance with Recommendations ITU-R RA.769-2 and ITU-R RA.1513 the </w:t>
      </w:r>
      <w:proofErr w:type="spellStart"/>
      <w:r w:rsidRPr="00BF24FC">
        <w:rPr>
          <w:rFonts w:ascii="Verdana" w:eastAsia="Verdana" w:hAnsi="Verdana" w:cs="Verdana"/>
          <w:i/>
          <w:iCs/>
          <w:sz w:val="18"/>
          <w:szCs w:val="18"/>
          <w:lang w:val="en-US"/>
        </w:rPr>
        <w:t>spfd</w:t>
      </w:r>
      <w:proofErr w:type="spellEnd"/>
      <w:r w:rsidRPr="00BF24FC">
        <w:rPr>
          <w:rFonts w:ascii="Verdana" w:eastAsia="Verdana" w:hAnsi="Verdana" w:cs="Verdana"/>
          <w:i/>
          <w:iCs/>
          <w:sz w:val="18"/>
          <w:szCs w:val="18"/>
          <w:lang w:val="en-US"/>
        </w:rPr>
        <w:t xml:space="preserve">-level at radio astronomy stations is limited to -238 </w:t>
      </w:r>
      <w:proofErr w:type="gramStart"/>
      <w:r w:rsidRPr="00BF24FC">
        <w:rPr>
          <w:rFonts w:ascii="Verdana" w:eastAsia="Verdana" w:hAnsi="Verdana" w:cs="Verdana"/>
          <w:i/>
          <w:iCs/>
          <w:sz w:val="18"/>
          <w:szCs w:val="18"/>
          <w:lang w:val="en-US"/>
        </w:rPr>
        <w:t>dB(</w:t>
      </w:r>
      <w:proofErr w:type="gramEnd"/>
      <w:r w:rsidRPr="00BF24FC">
        <w:rPr>
          <w:rFonts w:ascii="Verdana" w:eastAsia="Verdana" w:hAnsi="Verdana" w:cs="Verdana"/>
          <w:i/>
          <w:iCs/>
          <w:sz w:val="18"/>
          <w:szCs w:val="18"/>
          <w:lang w:val="en-US"/>
        </w:rPr>
        <w:t xml:space="preserve">W/m²Hz)2,3 and the data loss resulting from exceeding this limit is ≤ 2% in one or more 20 kHz channels within the frequency band 1610.6-1613.8 MHz at the location of the radio astronomy station from the corresponding MSS system using downlinks in the frequency band 1613.8-1626.5 MHz (space-to-Earth). </w:t>
      </w:r>
      <w:r w:rsidRPr="00BF24FC">
        <w:rPr>
          <w:rFonts w:ascii="Verdana" w:eastAsia="Verdana" w:hAnsi="Verdana" w:cs="Verdana"/>
          <w:i/>
          <w:iCs/>
          <w:sz w:val="18"/>
          <w:szCs w:val="18"/>
          <w:lang w:val="en-US"/>
        </w:rPr>
        <w:br/>
      </w:r>
    </w:p>
    <w:p w:rsidR="0001038F" w:rsidRPr="00BF24FC" w:rsidRDefault="00FD6D0C">
      <w:pPr>
        <w:spacing w:before="180" w:after="180"/>
        <w:rPr>
          <w:lang w:val="en-US"/>
        </w:rPr>
      </w:pPr>
      <w:r w:rsidRPr="00BF24FC">
        <w:rPr>
          <w:rFonts w:ascii="Verdana" w:eastAsia="Verdana" w:hAnsi="Verdana" w:cs="Verdana"/>
          <w:sz w:val="18"/>
          <w:szCs w:val="18"/>
          <w:lang w:val="en-US"/>
        </w:rPr>
        <w:t>At its 78</w:t>
      </w:r>
      <w:r w:rsidRPr="00BF24FC">
        <w:rPr>
          <w:rFonts w:ascii="Verdana" w:eastAsia="Verdana" w:hAnsi="Verdana" w:cs="Verdana"/>
          <w:sz w:val="23"/>
          <w:szCs w:val="23"/>
          <w:vertAlign w:val="superscript"/>
          <w:lang w:val="en-US"/>
        </w:rPr>
        <w:t>th</w:t>
      </w:r>
      <w:r w:rsidRPr="00BF24FC">
        <w:rPr>
          <w:rFonts w:ascii="Verdana" w:eastAsia="Verdana" w:hAnsi="Verdana" w:cs="Verdana"/>
          <w:sz w:val="18"/>
          <w:szCs w:val="18"/>
          <w:lang w:val="en-US"/>
        </w:rPr>
        <w:t xml:space="preserve"> meeting in </w:t>
      </w:r>
      <w:proofErr w:type="spellStart"/>
      <w:r w:rsidRPr="00BF24FC">
        <w:rPr>
          <w:rFonts w:ascii="Verdana" w:eastAsia="Verdana" w:hAnsi="Verdana" w:cs="Verdana"/>
          <w:sz w:val="18"/>
          <w:szCs w:val="18"/>
          <w:lang w:val="en-US"/>
        </w:rPr>
        <w:t>Montegrotto</w:t>
      </w:r>
      <w:proofErr w:type="spellEnd"/>
      <w:r w:rsidRPr="00BF24FC">
        <w:rPr>
          <w:rFonts w:ascii="Verdana" w:eastAsia="Verdana" w:hAnsi="Verdana" w:cs="Verdana"/>
          <w:sz w:val="18"/>
          <w:szCs w:val="18"/>
          <w:lang w:val="en-US"/>
        </w:rPr>
        <w:t>, WGFM directed CRAF and Iridium to meet to discuss the technical aspects of the protection of radio astronomy measurements in the band 1610.6 – 1613.8 MHz from out-of-band emissions of the Iridium NEXT satellite constellation.</w:t>
      </w:r>
    </w:p>
    <w:p w:rsidR="007001A7" w:rsidRDefault="00FD6D0C">
      <w:pPr>
        <w:rPr>
          <w:rFonts w:ascii="Verdana" w:eastAsia="Verdana" w:hAnsi="Verdana" w:cs="Verdana"/>
          <w:b/>
          <w:bCs/>
          <w:sz w:val="18"/>
          <w:szCs w:val="18"/>
          <w:lang w:val="en-US"/>
        </w:rPr>
      </w:pPr>
      <w:r w:rsidRPr="00BF24FC">
        <w:rPr>
          <w:rFonts w:ascii="Verdana" w:eastAsia="Verdana" w:hAnsi="Verdana" w:cs="Verdana"/>
          <w:sz w:val="18"/>
          <w:szCs w:val="18"/>
          <w:lang w:val="en-US"/>
        </w:rPr>
        <w:t>In this context, the 81</w:t>
      </w:r>
      <w:r w:rsidRPr="00BF24FC">
        <w:rPr>
          <w:rFonts w:ascii="Verdana" w:eastAsia="Verdana" w:hAnsi="Verdana" w:cs="Verdana"/>
          <w:sz w:val="23"/>
          <w:szCs w:val="23"/>
          <w:vertAlign w:val="superscript"/>
          <w:lang w:val="en-US"/>
        </w:rPr>
        <w:t>st</w:t>
      </w:r>
      <w:r w:rsidRPr="00BF24FC">
        <w:rPr>
          <w:rFonts w:ascii="Verdana" w:eastAsia="Verdana" w:hAnsi="Verdana" w:cs="Verdana"/>
          <w:sz w:val="18"/>
          <w:szCs w:val="18"/>
          <w:lang w:val="en-US"/>
        </w:rPr>
        <w:t xml:space="preserve"> meeting of WGFM in Sophia Antipolis decided to launch this questionnaire to collect information about authorisations for the Iridium Mobile Satellite System and earth stations under control of the Iridium system in CEPT countries. </w:t>
      </w:r>
    </w:p>
    <w:p w:rsidR="00FD6D0C" w:rsidRDefault="00FD6D0C">
      <w:pPr>
        <w:rPr>
          <w:rFonts w:ascii="Verdana" w:eastAsia="Verdana" w:hAnsi="Verdana" w:cs="Verdana"/>
          <w:b/>
          <w:bCs/>
          <w:sz w:val="18"/>
          <w:szCs w:val="18"/>
          <w:lang w:val="en-US"/>
        </w:rPr>
      </w:pPr>
    </w:p>
    <w:p w:rsidR="00FD6D0C" w:rsidRPr="00FD6D0C" w:rsidRDefault="00FD6D0C" w:rsidP="00FD6D0C">
      <w:pPr>
        <w:rPr>
          <w:rFonts w:ascii="Arial" w:eastAsia="Calibri" w:hAnsi="Arial"/>
          <w:sz w:val="22"/>
          <w:szCs w:val="22"/>
          <w:bdr w:val="none" w:sz="0" w:space="0" w:color="auto"/>
          <w:lang w:val="en-GB" w:eastAsia="en-US"/>
        </w:rPr>
      </w:pPr>
      <w:r w:rsidRPr="00FD6D0C">
        <w:rPr>
          <w:rFonts w:ascii="Arial" w:eastAsia="Calibri" w:hAnsi="Arial"/>
          <w:sz w:val="22"/>
          <w:szCs w:val="22"/>
          <w:bdr w:val="none" w:sz="0" w:space="0" w:color="auto"/>
          <w:lang w:val="en-GB" w:eastAsia="en-US"/>
        </w:rPr>
        <w:t xml:space="preserve">By </w:t>
      </w:r>
      <w:r w:rsidR="005E2D82">
        <w:rPr>
          <w:rFonts w:ascii="Arial" w:eastAsia="Calibri" w:hAnsi="Arial"/>
          <w:sz w:val="22"/>
          <w:szCs w:val="22"/>
          <w:bdr w:val="none" w:sz="0" w:space="0" w:color="auto"/>
          <w:lang w:val="en-GB" w:eastAsia="en-US"/>
        </w:rPr>
        <w:t>2</w:t>
      </w:r>
      <w:r w:rsidR="00250420">
        <w:rPr>
          <w:rFonts w:ascii="Arial" w:eastAsia="Calibri" w:hAnsi="Arial"/>
          <w:sz w:val="22"/>
          <w:szCs w:val="22"/>
          <w:bdr w:val="none" w:sz="0" w:space="0" w:color="auto"/>
          <w:lang w:val="en-GB" w:eastAsia="en-US"/>
        </w:rPr>
        <w:t>3</w:t>
      </w:r>
      <w:r>
        <w:rPr>
          <w:rFonts w:ascii="Arial" w:eastAsia="Calibri" w:hAnsi="Arial"/>
          <w:sz w:val="22"/>
          <w:szCs w:val="22"/>
          <w:bdr w:val="none" w:sz="0" w:space="0" w:color="auto"/>
          <w:lang w:val="en-GB" w:eastAsia="en-US"/>
        </w:rPr>
        <w:t xml:space="preserve"> December 2014</w:t>
      </w:r>
      <w:r w:rsidRPr="00FD6D0C">
        <w:rPr>
          <w:rFonts w:ascii="Arial" w:eastAsia="Calibri" w:hAnsi="Arial"/>
          <w:sz w:val="22"/>
          <w:szCs w:val="22"/>
          <w:bdr w:val="none" w:sz="0" w:space="0" w:color="auto"/>
          <w:lang w:val="en-GB" w:eastAsia="en-US"/>
        </w:rPr>
        <w:t>, a total of 3</w:t>
      </w:r>
      <w:r w:rsidR="00250420">
        <w:rPr>
          <w:rFonts w:ascii="Arial" w:eastAsia="Calibri" w:hAnsi="Arial"/>
          <w:sz w:val="22"/>
          <w:szCs w:val="22"/>
          <w:bdr w:val="none" w:sz="0" w:space="0" w:color="auto"/>
          <w:lang w:val="en-GB" w:eastAsia="en-US"/>
        </w:rPr>
        <w:t>4</w:t>
      </w:r>
      <w:r w:rsidRPr="00FD6D0C">
        <w:rPr>
          <w:rFonts w:ascii="Arial" w:eastAsia="Calibri" w:hAnsi="Arial"/>
          <w:sz w:val="22"/>
          <w:szCs w:val="22"/>
          <w:bdr w:val="none" w:sz="0" w:space="0" w:color="auto"/>
          <w:lang w:val="en-GB" w:eastAsia="en-US"/>
        </w:rPr>
        <w:t xml:space="preserve"> </w:t>
      </w:r>
      <w:r w:rsidR="004C7679">
        <w:rPr>
          <w:rFonts w:ascii="Arial" w:eastAsia="Calibri" w:hAnsi="Arial"/>
          <w:sz w:val="22"/>
          <w:szCs w:val="22"/>
          <w:bdr w:val="none" w:sz="0" w:space="0" w:color="auto"/>
          <w:lang w:val="en-GB" w:eastAsia="en-US"/>
        </w:rPr>
        <w:t>administrations</w:t>
      </w:r>
      <w:r w:rsidRPr="00FD6D0C">
        <w:rPr>
          <w:rFonts w:ascii="Arial" w:eastAsia="Calibri" w:hAnsi="Arial"/>
          <w:sz w:val="22"/>
          <w:szCs w:val="22"/>
          <w:bdr w:val="none" w:sz="0" w:space="0" w:color="auto"/>
          <w:lang w:val="en-GB" w:eastAsia="en-US"/>
        </w:rPr>
        <w:t xml:space="preserve"> (in bold) have provided an answer to the questionnaire.</w:t>
      </w:r>
    </w:p>
    <w:p w:rsidR="00FD6D0C" w:rsidRPr="00FD6D0C" w:rsidRDefault="00FD6D0C" w:rsidP="00FD6D0C">
      <w:pPr>
        <w:rPr>
          <w:sz w:val="22"/>
          <w:szCs w:val="22"/>
          <w:bdr w:val="none" w:sz="0" w:space="0" w:color="auto"/>
          <w:lang w:val="en-GB" w:eastAsia="en-US"/>
        </w:rPr>
      </w:pPr>
    </w:p>
    <w:tbl>
      <w:tblPr>
        <w:tblStyle w:val="TableGrid1"/>
        <w:tblW w:w="0" w:type="auto"/>
        <w:tblInd w:w="360" w:type="dxa"/>
        <w:tblBorders>
          <w:insideH w:val="none" w:sz="0" w:space="0" w:color="auto"/>
          <w:insideV w:val="none" w:sz="0" w:space="0" w:color="auto"/>
        </w:tblBorders>
        <w:tblLook w:val="01E0" w:firstRow="1" w:lastRow="1" w:firstColumn="1" w:lastColumn="1" w:noHBand="0" w:noVBand="0"/>
      </w:tblPr>
      <w:tblGrid>
        <w:gridCol w:w="4081"/>
        <w:gridCol w:w="4081"/>
      </w:tblGrid>
      <w:tr w:rsidR="00FD6D0C" w:rsidRPr="00FD6D0C" w:rsidTr="00FD6D0C">
        <w:trPr>
          <w:trHeight w:val="1428"/>
        </w:trPr>
        <w:tc>
          <w:tcPr>
            <w:tcW w:w="4081" w:type="dxa"/>
          </w:tcPr>
          <w:p w:rsidR="00FD6D0C" w:rsidRPr="007C1EAA" w:rsidRDefault="00FD6D0C" w:rsidP="00FD6D0C">
            <w:pPr>
              <w:autoSpaceDE w:val="0"/>
              <w:autoSpaceDN w:val="0"/>
              <w:jc w:val="both"/>
              <w:rPr>
                <w:rFonts w:ascii="Arial" w:hAnsi="Arial"/>
                <w:b/>
                <w:bdr w:val="none" w:sz="0" w:space="0" w:color="auto"/>
                <w:lang w:val="it-IT" w:eastAsia="en-US"/>
              </w:rPr>
            </w:pPr>
            <w:r w:rsidRPr="007C1EAA">
              <w:rPr>
                <w:rFonts w:cs="Arial"/>
                <w:b/>
                <w:bdr w:val="none" w:sz="0" w:space="0" w:color="auto"/>
                <w:lang w:val="it-IT" w:eastAsia="en-US"/>
              </w:rPr>
              <w:t>Albania</w:t>
            </w:r>
          </w:p>
          <w:p w:rsidR="00FD6D0C" w:rsidRPr="00FD6D0C" w:rsidRDefault="00FD6D0C" w:rsidP="00FD6D0C">
            <w:pPr>
              <w:autoSpaceDE w:val="0"/>
              <w:autoSpaceDN w:val="0"/>
              <w:jc w:val="both"/>
              <w:rPr>
                <w:rFonts w:ascii="Arial" w:hAnsi="Arial"/>
                <w:bdr w:val="none" w:sz="0" w:space="0" w:color="auto"/>
                <w:lang w:val="it-IT" w:eastAsia="en-US"/>
              </w:rPr>
            </w:pPr>
            <w:r w:rsidRPr="00FD6D0C">
              <w:rPr>
                <w:rFonts w:cs="Arial"/>
                <w:bdr w:val="none" w:sz="0" w:space="0" w:color="auto"/>
                <w:lang w:val="it-IT" w:eastAsia="en-US"/>
              </w:rPr>
              <w:t>Andorra</w:t>
            </w:r>
          </w:p>
          <w:p w:rsidR="00FD6D0C" w:rsidRPr="00FD6D0C" w:rsidRDefault="00FD6D0C" w:rsidP="00FD6D0C">
            <w:pPr>
              <w:autoSpaceDE w:val="0"/>
              <w:autoSpaceDN w:val="0"/>
              <w:jc w:val="both"/>
              <w:rPr>
                <w:rFonts w:ascii="Arial" w:hAnsi="Arial"/>
                <w:b/>
                <w:bdr w:val="none" w:sz="0" w:space="0" w:color="auto"/>
                <w:lang w:val="it-IT" w:eastAsia="en-US"/>
              </w:rPr>
            </w:pPr>
            <w:r w:rsidRPr="00FD6D0C">
              <w:rPr>
                <w:rFonts w:cs="Arial"/>
                <w:b/>
                <w:bdr w:val="none" w:sz="0" w:space="0" w:color="auto"/>
                <w:lang w:val="it-IT" w:eastAsia="en-US"/>
              </w:rPr>
              <w:t>Austria</w:t>
            </w:r>
          </w:p>
          <w:p w:rsidR="00FD6D0C" w:rsidRPr="00FD6D0C" w:rsidRDefault="00FD6D0C" w:rsidP="00FD6D0C">
            <w:pPr>
              <w:autoSpaceDE w:val="0"/>
              <w:autoSpaceDN w:val="0"/>
              <w:jc w:val="both"/>
              <w:rPr>
                <w:rFonts w:ascii="Arial" w:hAnsi="Arial"/>
                <w:bdr w:val="none" w:sz="0" w:space="0" w:color="auto"/>
                <w:lang w:val="it-IT" w:eastAsia="en-US"/>
              </w:rPr>
            </w:pPr>
            <w:r w:rsidRPr="00FD6D0C">
              <w:rPr>
                <w:rFonts w:cs="Arial"/>
                <w:bdr w:val="none" w:sz="0" w:space="0" w:color="auto"/>
                <w:lang w:val="it-IT" w:eastAsia="en-US"/>
              </w:rPr>
              <w:t>Azerbaijan</w:t>
            </w:r>
          </w:p>
          <w:p w:rsidR="00FD6D0C" w:rsidRPr="007C1EAA" w:rsidRDefault="00FD6D0C" w:rsidP="00FD6D0C">
            <w:pPr>
              <w:autoSpaceDE w:val="0"/>
              <w:autoSpaceDN w:val="0"/>
              <w:jc w:val="both"/>
              <w:rPr>
                <w:rFonts w:ascii="Arial" w:hAnsi="Arial"/>
                <w:bdr w:val="none" w:sz="0" w:space="0" w:color="auto"/>
                <w:lang w:val="it-IT" w:eastAsia="en-US"/>
              </w:rPr>
            </w:pPr>
            <w:r w:rsidRPr="007C1EAA">
              <w:rPr>
                <w:rFonts w:cs="Arial"/>
                <w:bdr w:val="none" w:sz="0" w:space="0" w:color="auto"/>
                <w:lang w:val="it-IT" w:eastAsia="en-US"/>
              </w:rPr>
              <w:t>Belarus</w:t>
            </w:r>
          </w:p>
          <w:p w:rsidR="00FD6D0C" w:rsidRPr="007C1EAA" w:rsidRDefault="00FD6D0C" w:rsidP="00FD6D0C">
            <w:pPr>
              <w:autoSpaceDE w:val="0"/>
              <w:autoSpaceDN w:val="0"/>
              <w:jc w:val="both"/>
              <w:rPr>
                <w:rFonts w:ascii="Arial" w:hAnsi="Arial"/>
                <w:b/>
                <w:bdr w:val="none" w:sz="0" w:space="0" w:color="auto"/>
                <w:lang w:val="it-IT" w:eastAsia="en-US"/>
              </w:rPr>
            </w:pPr>
            <w:r w:rsidRPr="007C1EAA">
              <w:rPr>
                <w:rFonts w:cs="Arial"/>
                <w:b/>
                <w:bdr w:val="none" w:sz="0" w:space="0" w:color="auto"/>
                <w:lang w:val="it-IT" w:eastAsia="en-US"/>
              </w:rPr>
              <w:t>Belgium</w:t>
            </w:r>
          </w:p>
          <w:p w:rsidR="00FD6D0C" w:rsidRPr="007C1EAA" w:rsidRDefault="00FD6D0C" w:rsidP="00FD6D0C">
            <w:pPr>
              <w:autoSpaceDE w:val="0"/>
              <w:autoSpaceDN w:val="0"/>
              <w:jc w:val="both"/>
              <w:rPr>
                <w:rFonts w:ascii="Arial" w:hAnsi="Arial"/>
                <w:bdr w:val="none" w:sz="0" w:space="0" w:color="auto"/>
                <w:lang w:val="it-IT" w:eastAsia="en-US"/>
              </w:rPr>
            </w:pPr>
            <w:r w:rsidRPr="007C1EAA">
              <w:rPr>
                <w:rFonts w:cs="Arial"/>
                <w:bdr w:val="none" w:sz="0" w:space="0" w:color="auto"/>
                <w:lang w:val="it-IT" w:eastAsia="en-US"/>
              </w:rPr>
              <w:t>Bosnia Herzegovina</w:t>
            </w:r>
          </w:p>
          <w:p w:rsidR="00FD6D0C" w:rsidRPr="007C1EAA" w:rsidRDefault="00FD6D0C" w:rsidP="00FD6D0C">
            <w:pPr>
              <w:autoSpaceDE w:val="0"/>
              <w:autoSpaceDN w:val="0"/>
              <w:jc w:val="both"/>
              <w:rPr>
                <w:rFonts w:ascii="Arial" w:hAnsi="Arial"/>
                <w:b/>
                <w:bdr w:val="none" w:sz="0" w:space="0" w:color="auto"/>
                <w:lang w:val="it-IT" w:eastAsia="en-US"/>
              </w:rPr>
            </w:pPr>
            <w:r w:rsidRPr="007C1EAA">
              <w:rPr>
                <w:rFonts w:cs="Arial"/>
                <w:b/>
                <w:bdr w:val="none" w:sz="0" w:space="0" w:color="auto"/>
                <w:lang w:val="it-IT" w:eastAsia="en-US"/>
              </w:rPr>
              <w:t>Bulgaria</w:t>
            </w:r>
          </w:p>
          <w:p w:rsidR="00FD6D0C" w:rsidRPr="00FD6D0C" w:rsidRDefault="00FD6D0C" w:rsidP="00FD6D0C">
            <w:pPr>
              <w:autoSpaceDE w:val="0"/>
              <w:autoSpaceDN w:val="0"/>
              <w:jc w:val="both"/>
              <w:rPr>
                <w:rFonts w:ascii="Arial" w:hAnsi="Arial"/>
                <w:b/>
                <w:bdr w:val="none" w:sz="0" w:space="0" w:color="auto"/>
                <w:lang w:val="en-US" w:eastAsia="en-US"/>
              </w:rPr>
            </w:pPr>
            <w:r w:rsidRPr="00FD6D0C">
              <w:rPr>
                <w:rFonts w:cs="Arial"/>
                <w:b/>
                <w:bdr w:val="none" w:sz="0" w:space="0" w:color="auto"/>
                <w:lang w:val="en-US" w:eastAsia="en-US"/>
              </w:rPr>
              <w:t>Croatia</w:t>
            </w:r>
          </w:p>
          <w:p w:rsidR="00FD6D0C" w:rsidRPr="00FD6D0C" w:rsidRDefault="00FD6D0C" w:rsidP="00FD6D0C">
            <w:pPr>
              <w:autoSpaceDE w:val="0"/>
              <w:autoSpaceDN w:val="0"/>
              <w:jc w:val="both"/>
              <w:rPr>
                <w:rFonts w:ascii="Arial" w:hAnsi="Arial"/>
                <w:b/>
                <w:bdr w:val="none" w:sz="0" w:space="0" w:color="auto"/>
                <w:lang w:val="en-US" w:eastAsia="en-US"/>
              </w:rPr>
            </w:pPr>
            <w:r w:rsidRPr="00FD6D0C">
              <w:rPr>
                <w:rFonts w:cs="Arial"/>
                <w:b/>
                <w:bdr w:val="none" w:sz="0" w:space="0" w:color="auto"/>
                <w:lang w:val="en-US" w:eastAsia="en-US"/>
              </w:rPr>
              <w:t>Cyprus</w:t>
            </w:r>
          </w:p>
          <w:p w:rsidR="00FD6D0C" w:rsidRPr="00FD6D0C" w:rsidRDefault="00FD6D0C" w:rsidP="00FD6D0C">
            <w:pPr>
              <w:autoSpaceDE w:val="0"/>
              <w:autoSpaceDN w:val="0"/>
              <w:jc w:val="both"/>
              <w:rPr>
                <w:rFonts w:ascii="Arial" w:hAnsi="Arial"/>
                <w:b/>
                <w:bdr w:val="none" w:sz="0" w:space="0" w:color="auto"/>
                <w:lang w:val="en-US" w:eastAsia="en-US"/>
              </w:rPr>
            </w:pPr>
            <w:r w:rsidRPr="00FD6D0C">
              <w:rPr>
                <w:rFonts w:cs="Arial"/>
                <w:b/>
                <w:bdr w:val="none" w:sz="0" w:space="0" w:color="auto"/>
                <w:lang w:val="en-US" w:eastAsia="en-US"/>
              </w:rPr>
              <w:t>Czech Republic</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Denmark</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Estonia</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Finland</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France</w:t>
            </w:r>
          </w:p>
          <w:p w:rsidR="00FD6D0C" w:rsidRPr="007C1EAA" w:rsidRDefault="00FD6D0C" w:rsidP="00FD6D0C">
            <w:pPr>
              <w:autoSpaceDE w:val="0"/>
              <w:autoSpaceDN w:val="0"/>
              <w:jc w:val="both"/>
              <w:rPr>
                <w:rFonts w:ascii="Arial" w:hAnsi="Arial"/>
                <w:bdr w:val="none" w:sz="0" w:space="0" w:color="auto"/>
                <w:lang w:val="en-GB" w:eastAsia="en-US"/>
              </w:rPr>
            </w:pPr>
            <w:r w:rsidRPr="007C1EAA">
              <w:rPr>
                <w:rFonts w:cs="Arial"/>
                <w:bdr w:val="none" w:sz="0" w:space="0" w:color="auto"/>
                <w:lang w:val="en-GB" w:eastAsia="en-US"/>
              </w:rPr>
              <w:t>Georgia</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Germany</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Greece</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Hungary</w:t>
            </w:r>
          </w:p>
          <w:p w:rsidR="00FD6D0C" w:rsidRPr="007C1EAA" w:rsidRDefault="00FD6D0C" w:rsidP="00FD6D0C">
            <w:pPr>
              <w:autoSpaceDE w:val="0"/>
              <w:autoSpaceDN w:val="0"/>
              <w:jc w:val="both"/>
              <w:rPr>
                <w:rFonts w:ascii="Arial" w:hAnsi="Arial"/>
                <w:bdr w:val="none" w:sz="0" w:space="0" w:color="auto"/>
                <w:lang w:val="en-GB" w:eastAsia="en-US"/>
              </w:rPr>
            </w:pPr>
            <w:r w:rsidRPr="007C1EAA">
              <w:rPr>
                <w:rFonts w:cs="Arial"/>
                <w:bdr w:val="none" w:sz="0" w:space="0" w:color="auto"/>
                <w:lang w:val="en-GB" w:eastAsia="en-US"/>
              </w:rPr>
              <w:t>Iceland</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Ireland</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Italy</w:t>
            </w:r>
          </w:p>
          <w:p w:rsidR="00FD6D0C" w:rsidRPr="00FD6D0C" w:rsidRDefault="00FD6D0C" w:rsidP="00FD6D0C">
            <w:pPr>
              <w:autoSpaceDE w:val="0"/>
              <w:autoSpaceDN w:val="0"/>
              <w:jc w:val="both"/>
              <w:rPr>
                <w:rFonts w:ascii="Arial" w:hAnsi="Arial"/>
                <w:b/>
                <w:bdr w:val="none" w:sz="0" w:space="0" w:color="auto"/>
                <w:lang w:val="en-US" w:eastAsia="en-US"/>
              </w:rPr>
            </w:pPr>
            <w:r w:rsidRPr="00FD6D0C">
              <w:rPr>
                <w:rFonts w:cs="Arial"/>
                <w:b/>
                <w:bCs/>
                <w:bdr w:val="none" w:sz="0" w:space="0" w:color="auto"/>
                <w:lang w:val="en-US" w:eastAsia="en-US"/>
              </w:rPr>
              <w:t>Latvia</w:t>
            </w:r>
          </w:p>
          <w:p w:rsidR="00FD6D0C" w:rsidRPr="007C1EAA" w:rsidRDefault="00FD6D0C" w:rsidP="00FD6D0C">
            <w:pPr>
              <w:autoSpaceDE w:val="0"/>
              <w:autoSpaceDN w:val="0"/>
              <w:jc w:val="both"/>
              <w:rPr>
                <w:rFonts w:ascii="Arial" w:hAnsi="Arial"/>
                <w:bdr w:val="none" w:sz="0" w:space="0" w:color="auto"/>
                <w:lang w:val="en-US" w:eastAsia="en-US"/>
              </w:rPr>
            </w:pPr>
            <w:r w:rsidRPr="007C1EAA">
              <w:rPr>
                <w:rFonts w:cs="Arial"/>
                <w:bCs/>
                <w:bdr w:val="none" w:sz="0" w:space="0" w:color="auto"/>
                <w:lang w:val="en-US" w:eastAsia="en-US"/>
              </w:rPr>
              <w:t>Liechtenstein</w:t>
            </w:r>
          </w:p>
        </w:tc>
        <w:tc>
          <w:tcPr>
            <w:tcW w:w="4081" w:type="dxa"/>
          </w:tcPr>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Lithuania</w:t>
            </w:r>
          </w:p>
          <w:p w:rsidR="00FD6D0C" w:rsidRPr="007C1EAA" w:rsidRDefault="00FD6D0C" w:rsidP="00FD6D0C">
            <w:pPr>
              <w:autoSpaceDE w:val="0"/>
              <w:autoSpaceDN w:val="0"/>
              <w:jc w:val="both"/>
              <w:rPr>
                <w:rFonts w:ascii="Arial" w:hAnsi="Arial"/>
                <w:bdr w:val="none" w:sz="0" w:space="0" w:color="auto"/>
                <w:lang w:val="en-GB" w:eastAsia="en-US"/>
              </w:rPr>
            </w:pPr>
            <w:r w:rsidRPr="007C1EAA">
              <w:rPr>
                <w:rFonts w:cs="Arial"/>
                <w:bdr w:val="none" w:sz="0" w:space="0" w:color="auto"/>
                <w:lang w:val="en-GB" w:eastAsia="en-US"/>
              </w:rPr>
              <w:t>Luxembourg</w:t>
            </w:r>
          </w:p>
          <w:p w:rsidR="00FD6D0C" w:rsidRPr="00FD6D0C" w:rsidRDefault="00FD6D0C" w:rsidP="00FD6D0C">
            <w:pPr>
              <w:autoSpaceDE w:val="0"/>
              <w:autoSpaceDN w:val="0"/>
              <w:jc w:val="both"/>
              <w:rPr>
                <w:rFonts w:ascii="Arial" w:hAnsi="Arial"/>
                <w:bdr w:val="none" w:sz="0" w:space="0" w:color="auto"/>
                <w:lang w:val="it-IT" w:eastAsia="en-US"/>
              </w:rPr>
            </w:pPr>
            <w:r w:rsidRPr="00FD6D0C">
              <w:rPr>
                <w:rFonts w:cs="Arial"/>
                <w:bdr w:val="none" w:sz="0" w:space="0" w:color="auto"/>
                <w:lang w:val="it-IT" w:eastAsia="en-US"/>
              </w:rPr>
              <w:t>Former Yugoslavian Republic of Macedonia (FYROM)</w:t>
            </w:r>
          </w:p>
          <w:p w:rsidR="00FD6D0C" w:rsidRPr="00FD6D0C" w:rsidRDefault="00FD6D0C" w:rsidP="00FD6D0C">
            <w:pPr>
              <w:autoSpaceDE w:val="0"/>
              <w:autoSpaceDN w:val="0"/>
              <w:jc w:val="both"/>
              <w:rPr>
                <w:rFonts w:ascii="Arial" w:hAnsi="Arial"/>
                <w:bdr w:val="none" w:sz="0" w:space="0" w:color="auto"/>
                <w:lang w:val="it-IT" w:eastAsia="en-US"/>
              </w:rPr>
            </w:pPr>
            <w:r w:rsidRPr="00FD6D0C">
              <w:rPr>
                <w:rFonts w:cs="Arial"/>
                <w:bdr w:val="none" w:sz="0" w:space="0" w:color="auto"/>
                <w:lang w:val="it-IT" w:eastAsia="en-US"/>
              </w:rPr>
              <w:t>Malta</w:t>
            </w:r>
          </w:p>
          <w:p w:rsidR="00FD6D0C" w:rsidRPr="007C1EAA" w:rsidRDefault="00FD6D0C" w:rsidP="00FD6D0C">
            <w:pPr>
              <w:autoSpaceDE w:val="0"/>
              <w:autoSpaceDN w:val="0"/>
              <w:jc w:val="both"/>
              <w:rPr>
                <w:rFonts w:ascii="Arial" w:hAnsi="Arial"/>
                <w:bdr w:val="none" w:sz="0" w:space="0" w:color="auto"/>
                <w:lang w:val="it-IT" w:eastAsia="en-US"/>
              </w:rPr>
            </w:pPr>
            <w:r w:rsidRPr="007C1EAA">
              <w:rPr>
                <w:rFonts w:cs="Arial"/>
                <w:bdr w:val="none" w:sz="0" w:space="0" w:color="auto"/>
                <w:lang w:val="it-IT" w:eastAsia="en-US"/>
              </w:rPr>
              <w:t>Monaco</w:t>
            </w:r>
          </w:p>
          <w:p w:rsidR="00FD6D0C" w:rsidRPr="00FD6D0C" w:rsidRDefault="00FD6D0C" w:rsidP="00FD6D0C">
            <w:pPr>
              <w:autoSpaceDE w:val="0"/>
              <w:autoSpaceDN w:val="0"/>
              <w:jc w:val="both"/>
              <w:rPr>
                <w:rFonts w:ascii="Arial" w:hAnsi="Arial"/>
                <w:b/>
                <w:bdr w:val="none" w:sz="0" w:space="0" w:color="auto"/>
                <w:lang w:val="it-IT" w:eastAsia="en-US"/>
              </w:rPr>
            </w:pPr>
            <w:r w:rsidRPr="00FD6D0C">
              <w:rPr>
                <w:rFonts w:cs="Arial"/>
                <w:b/>
                <w:bdr w:val="none" w:sz="0" w:space="0" w:color="auto"/>
                <w:lang w:val="it-IT" w:eastAsia="en-US"/>
              </w:rPr>
              <w:t>Montenegro</w:t>
            </w:r>
          </w:p>
          <w:p w:rsidR="00FD6D0C" w:rsidRPr="00FD6D0C" w:rsidRDefault="00FD6D0C" w:rsidP="00FD6D0C">
            <w:pPr>
              <w:autoSpaceDE w:val="0"/>
              <w:autoSpaceDN w:val="0"/>
              <w:jc w:val="both"/>
              <w:rPr>
                <w:rFonts w:ascii="Arial" w:hAnsi="Arial"/>
                <w:bdr w:val="none" w:sz="0" w:space="0" w:color="auto"/>
                <w:lang w:val="it-IT" w:eastAsia="en-US"/>
              </w:rPr>
            </w:pPr>
            <w:r w:rsidRPr="00FD6D0C">
              <w:rPr>
                <w:rFonts w:cs="Arial"/>
                <w:bdr w:val="none" w:sz="0" w:space="0" w:color="auto"/>
                <w:lang w:val="it-IT" w:eastAsia="en-US"/>
              </w:rPr>
              <w:t>Moldova</w:t>
            </w:r>
          </w:p>
          <w:p w:rsidR="00FD6D0C" w:rsidRPr="00FD6D0C" w:rsidRDefault="00FD6D0C" w:rsidP="00FD6D0C">
            <w:pPr>
              <w:autoSpaceDE w:val="0"/>
              <w:autoSpaceDN w:val="0"/>
              <w:jc w:val="both"/>
              <w:rPr>
                <w:rFonts w:ascii="Arial" w:hAnsi="Arial"/>
                <w:b/>
                <w:bdr w:val="none" w:sz="0" w:space="0" w:color="auto"/>
                <w:lang w:val="it-IT" w:eastAsia="en-US"/>
              </w:rPr>
            </w:pPr>
            <w:r w:rsidRPr="00FD6D0C">
              <w:rPr>
                <w:rFonts w:cs="Arial"/>
                <w:b/>
                <w:bdr w:val="none" w:sz="0" w:space="0" w:color="auto"/>
                <w:lang w:val="it-IT" w:eastAsia="en-US"/>
              </w:rPr>
              <w:t>Norway</w:t>
            </w:r>
          </w:p>
          <w:p w:rsidR="00FD6D0C" w:rsidRPr="007C1EAA" w:rsidRDefault="00FD6D0C" w:rsidP="00FD6D0C">
            <w:pPr>
              <w:autoSpaceDE w:val="0"/>
              <w:autoSpaceDN w:val="0"/>
              <w:jc w:val="both"/>
              <w:rPr>
                <w:rFonts w:ascii="Arial" w:hAnsi="Arial"/>
                <w:b/>
                <w:bdr w:val="none" w:sz="0" w:space="0" w:color="auto"/>
                <w:lang w:val="it-IT" w:eastAsia="en-US"/>
              </w:rPr>
            </w:pPr>
            <w:r w:rsidRPr="007C1EAA">
              <w:rPr>
                <w:rFonts w:cs="Arial"/>
                <w:b/>
                <w:bdr w:val="none" w:sz="0" w:space="0" w:color="auto"/>
                <w:lang w:val="it-IT" w:eastAsia="en-US"/>
              </w:rPr>
              <w:t>Poland</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Portugal</w:t>
            </w:r>
          </w:p>
          <w:p w:rsidR="00FD6D0C" w:rsidRPr="007C1EAA" w:rsidRDefault="00FD6D0C" w:rsidP="00FD6D0C">
            <w:pPr>
              <w:autoSpaceDE w:val="0"/>
              <w:autoSpaceDN w:val="0"/>
              <w:jc w:val="both"/>
              <w:rPr>
                <w:rFonts w:ascii="Arial" w:hAnsi="Arial"/>
                <w:b/>
                <w:bdr w:val="none" w:sz="0" w:space="0" w:color="auto"/>
                <w:lang w:val="en-GB" w:eastAsia="en-US"/>
              </w:rPr>
            </w:pPr>
            <w:r w:rsidRPr="007C1EAA">
              <w:rPr>
                <w:rFonts w:cs="Arial"/>
                <w:b/>
                <w:bdr w:val="none" w:sz="0" w:space="0" w:color="auto"/>
                <w:lang w:val="en-GB" w:eastAsia="en-US"/>
              </w:rPr>
              <w:t>Romania</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Russian Federation</w:t>
            </w:r>
          </w:p>
          <w:p w:rsidR="00FD6D0C" w:rsidRPr="00FD6D0C" w:rsidRDefault="00FD6D0C" w:rsidP="00FD6D0C">
            <w:pPr>
              <w:autoSpaceDE w:val="0"/>
              <w:autoSpaceDN w:val="0"/>
              <w:jc w:val="both"/>
              <w:rPr>
                <w:rFonts w:ascii="Arial" w:hAnsi="Arial"/>
                <w:bdr w:val="none" w:sz="0" w:space="0" w:color="auto"/>
                <w:lang w:val="en-GB" w:eastAsia="en-US"/>
              </w:rPr>
            </w:pPr>
            <w:r w:rsidRPr="00FD6D0C">
              <w:rPr>
                <w:rFonts w:cs="Arial"/>
                <w:bdr w:val="none" w:sz="0" w:space="0" w:color="auto"/>
                <w:lang w:val="en-GB" w:eastAsia="en-US"/>
              </w:rPr>
              <w:t>San Marino</w:t>
            </w:r>
          </w:p>
          <w:p w:rsidR="00FD6D0C" w:rsidRPr="007C1EAA" w:rsidRDefault="00FD6D0C" w:rsidP="00FD6D0C">
            <w:pPr>
              <w:autoSpaceDE w:val="0"/>
              <w:autoSpaceDN w:val="0"/>
              <w:jc w:val="both"/>
              <w:rPr>
                <w:rFonts w:ascii="Arial" w:hAnsi="Arial"/>
                <w:b/>
                <w:bdr w:val="none" w:sz="0" w:space="0" w:color="auto"/>
                <w:lang w:val="en-GB" w:eastAsia="en-US"/>
              </w:rPr>
            </w:pPr>
            <w:r w:rsidRPr="007C1EAA">
              <w:rPr>
                <w:rFonts w:cs="Arial"/>
                <w:b/>
                <w:bdr w:val="none" w:sz="0" w:space="0" w:color="auto"/>
                <w:lang w:val="en-GB" w:eastAsia="en-US"/>
              </w:rPr>
              <w:t>Serbia</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Slovak Republic</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Slovenia</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Spain</w:t>
            </w:r>
          </w:p>
          <w:p w:rsidR="00FD6D0C" w:rsidRPr="005E2D82" w:rsidRDefault="00FD6D0C" w:rsidP="00FD6D0C">
            <w:pPr>
              <w:autoSpaceDE w:val="0"/>
              <w:autoSpaceDN w:val="0"/>
              <w:jc w:val="both"/>
              <w:rPr>
                <w:rFonts w:ascii="Arial" w:hAnsi="Arial"/>
                <w:b/>
                <w:bdr w:val="none" w:sz="0" w:space="0" w:color="auto"/>
                <w:lang w:val="en-GB" w:eastAsia="en-US"/>
              </w:rPr>
            </w:pPr>
            <w:r w:rsidRPr="005E2D82">
              <w:rPr>
                <w:rFonts w:cs="Arial"/>
                <w:b/>
                <w:bdr w:val="none" w:sz="0" w:space="0" w:color="auto"/>
                <w:lang w:val="en-GB" w:eastAsia="en-US"/>
              </w:rPr>
              <w:t>Sweden</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Switzerland</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The Netherlands</w:t>
            </w:r>
          </w:p>
          <w:p w:rsidR="00FD6D0C" w:rsidRPr="00FD6D0C" w:rsidRDefault="00FD6D0C" w:rsidP="00FD6D0C">
            <w:pPr>
              <w:autoSpaceDE w:val="0"/>
              <w:autoSpaceDN w:val="0"/>
              <w:jc w:val="both"/>
              <w:rPr>
                <w:rFonts w:ascii="Arial" w:hAnsi="Arial"/>
                <w:b/>
                <w:bdr w:val="none" w:sz="0" w:space="0" w:color="auto"/>
                <w:lang w:val="en-GB" w:eastAsia="en-US"/>
              </w:rPr>
            </w:pPr>
            <w:r w:rsidRPr="00FD6D0C">
              <w:rPr>
                <w:rFonts w:cs="Arial"/>
                <w:b/>
                <w:bdr w:val="none" w:sz="0" w:space="0" w:color="auto"/>
                <w:lang w:val="en-GB" w:eastAsia="en-US"/>
              </w:rPr>
              <w:t>The United Kingdom</w:t>
            </w:r>
          </w:p>
          <w:p w:rsidR="00FD6D0C" w:rsidRPr="00250420" w:rsidRDefault="00FD6D0C" w:rsidP="00FD6D0C">
            <w:pPr>
              <w:tabs>
                <w:tab w:val="left" w:pos="1165"/>
              </w:tabs>
              <w:autoSpaceDE w:val="0"/>
              <w:autoSpaceDN w:val="0"/>
              <w:jc w:val="both"/>
              <w:rPr>
                <w:rFonts w:ascii="Arial" w:hAnsi="Arial"/>
                <w:b/>
                <w:bdr w:val="none" w:sz="0" w:space="0" w:color="auto"/>
                <w:lang w:val="en-GB" w:eastAsia="en-US"/>
              </w:rPr>
            </w:pPr>
            <w:r w:rsidRPr="00250420">
              <w:rPr>
                <w:rFonts w:cs="Arial"/>
                <w:b/>
                <w:bdr w:val="none" w:sz="0" w:space="0" w:color="auto"/>
                <w:lang w:val="en-GB" w:eastAsia="en-US"/>
              </w:rPr>
              <w:t>Turkey</w:t>
            </w:r>
          </w:p>
          <w:p w:rsidR="00FD6D0C" w:rsidRPr="00FD6D0C" w:rsidRDefault="00FD6D0C" w:rsidP="00FD6D0C">
            <w:pPr>
              <w:autoSpaceDE w:val="0"/>
              <w:autoSpaceDN w:val="0"/>
              <w:jc w:val="both"/>
              <w:rPr>
                <w:rFonts w:ascii="Arial" w:hAnsi="Arial"/>
                <w:b/>
                <w:bdr w:val="none" w:sz="0" w:space="0" w:color="auto"/>
                <w:lang w:val="en-US" w:eastAsia="en-US"/>
              </w:rPr>
            </w:pPr>
            <w:r w:rsidRPr="00FD6D0C">
              <w:rPr>
                <w:rFonts w:cs="Arial"/>
                <w:b/>
                <w:bCs/>
                <w:bdr w:val="none" w:sz="0" w:space="0" w:color="auto"/>
                <w:lang w:val="en-US" w:eastAsia="en-US"/>
              </w:rPr>
              <w:t>Ukraine</w:t>
            </w:r>
          </w:p>
          <w:p w:rsidR="00FD6D0C" w:rsidRPr="00FD6D0C" w:rsidRDefault="00FD6D0C" w:rsidP="00FD6D0C">
            <w:pPr>
              <w:autoSpaceDE w:val="0"/>
              <w:autoSpaceDN w:val="0"/>
              <w:jc w:val="both"/>
              <w:rPr>
                <w:rFonts w:ascii="Arial" w:hAnsi="Arial"/>
                <w:bdr w:val="none" w:sz="0" w:space="0" w:color="auto"/>
                <w:lang w:val="en-US" w:eastAsia="en-US"/>
              </w:rPr>
            </w:pPr>
            <w:r w:rsidRPr="00FD6D0C">
              <w:rPr>
                <w:rFonts w:cs="Arial"/>
                <w:bCs/>
                <w:bdr w:val="none" w:sz="0" w:space="0" w:color="auto"/>
                <w:lang w:val="en-US" w:eastAsia="en-US"/>
              </w:rPr>
              <w:t>Vatican City</w:t>
            </w:r>
          </w:p>
        </w:tc>
      </w:tr>
    </w:tbl>
    <w:p w:rsidR="007001A7" w:rsidRPr="004C7679" w:rsidRDefault="007001A7">
      <w:pPr>
        <w:rPr>
          <w:rFonts w:ascii="Verdana" w:eastAsia="Verdana" w:hAnsi="Verdana" w:cs="Verdana"/>
          <w:b/>
          <w:bCs/>
          <w:lang w:val="en-US"/>
        </w:rPr>
      </w:pPr>
    </w:p>
    <w:p w:rsidR="007001A7" w:rsidRPr="004C7679" w:rsidRDefault="00FD6D0C" w:rsidP="006205E3">
      <w:pPr>
        <w:rPr>
          <w:rFonts w:ascii="Verdana" w:eastAsia="Verdana" w:hAnsi="Verdana" w:cs="Verdana"/>
          <w:b/>
          <w:bCs/>
          <w:lang w:val="en-US"/>
        </w:rPr>
      </w:pPr>
      <w:r w:rsidRPr="004C7679">
        <w:rPr>
          <w:rFonts w:ascii="Verdana" w:eastAsia="Verdana" w:hAnsi="Verdana" w:cs="Verdana"/>
          <w:b/>
          <w:bCs/>
          <w:lang w:val="en-US"/>
        </w:rPr>
        <w:t xml:space="preserve">Questions: </w:t>
      </w:r>
    </w:p>
    <w:p w:rsidR="007001A7" w:rsidRDefault="007001A7">
      <w:pPr>
        <w:pStyle w:val="Questionarie-instance"/>
        <w:keepLines/>
        <w:rPr>
          <w:rFonts w:ascii="Verdana" w:eastAsia="Verdana" w:hAnsi="Verdana" w:cs="Verdana"/>
          <w:b/>
          <w:bCs/>
          <w:sz w:val="18"/>
          <w:szCs w:val="18"/>
          <w:lang w:val="en-US"/>
        </w:rPr>
      </w:pPr>
    </w:p>
    <w:p w:rsidR="0001038F" w:rsidRPr="004C7679" w:rsidRDefault="00FD6D0C">
      <w:pPr>
        <w:pStyle w:val="Questionarie-instance"/>
        <w:keepLines/>
        <w:rPr>
          <w:rStyle w:val="Questionarie-instanceQuestion-text"/>
          <w:rFonts w:ascii="Verdana" w:eastAsia="Verdana" w:hAnsi="Verdana" w:cs="Verdana"/>
          <w:sz w:val="22"/>
          <w:szCs w:val="22"/>
          <w:lang w:val="en-US"/>
        </w:rPr>
      </w:pPr>
      <w:r w:rsidRPr="004C7679">
        <w:rPr>
          <w:rFonts w:ascii="Verdana" w:eastAsia="Verdana" w:hAnsi="Verdana" w:cs="Verdana"/>
          <w:b/>
          <w:bCs/>
          <w:sz w:val="22"/>
          <w:szCs w:val="22"/>
          <w:lang w:val="en-US"/>
        </w:rPr>
        <w:t xml:space="preserve">Question 1: </w:t>
      </w:r>
      <w:r w:rsidRPr="004C7679">
        <w:rPr>
          <w:rStyle w:val="Questionarie-instanceQuestion-text"/>
          <w:rFonts w:ascii="Verdana" w:eastAsia="Verdana" w:hAnsi="Verdana" w:cs="Verdana"/>
          <w:sz w:val="22"/>
          <w:szCs w:val="22"/>
          <w:lang w:val="en-US"/>
        </w:rPr>
        <w:t xml:space="preserve">Does your administration issue </w:t>
      </w:r>
      <w:proofErr w:type="spellStart"/>
      <w:r w:rsidRPr="004C7679">
        <w:rPr>
          <w:rStyle w:val="Questionarie-instanceQuestion-text"/>
          <w:rFonts w:ascii="Verdana" w:eastAsia="Verdana" w:hAnsi="Verdana" w:cs="Verdana"/>
          <w:sz w:val="22"/>
          <w:szCs w:val="22"/>
          <w:lang w:val="en-US"/>
        </w:rPr>
        <w:t>licences</w:t>
      </w:r>
      <w:proofErr w:type="spellEnd"/>
      <w:r w:rsidRPr="004C7679">
        <w:rPr>
          <w:rStyle w:val="Questionarie-instanceQuestion-text"/>
          <w:rFonts w:ascii="Verdana" w:eastAsia="Verdana" w:hAnsi="Verdana" w:cs="Verdana"/>
          <w:sz w:val="22"/>
          <w:szCs w:val="22"/>
          <w:lang w:val="en-US"/>
        </w:rPr>
        <w:t xml:space="preserve"> for satellite operations (for Iridium in this case) or do you follow a license exemption policy (for uplink, for downlink)? </w:t>
      </w:r>
    </w:p>
    <w:p w:rsidR="007001A7" w:rsidRDefault="007001A7">
      <w:pPr>
        <w:pStyle w:val="Questionarie-instance"/>
        <w:keepLines/>
        <w:rPr>
          <w:lang w:val="en-US"/>
        </w:rPr>
      </w:pPr>
    </w:p>
    <w:p w:rsidR="00C06368" w:rsidRDefault="00C06368">
      <w:pPr>
        <w:pStyle w:val="Questionarie-instance"/>
        <w:keepLines/>
        <w:rPr>
          <w:lang w:val="en-US"/>
        </w:rPr>
      </w:pPr>
    </w:p>
    <w:p w:rsidR="00401B60" w:rsidRDefault="009450D3">
      <w:pPr>
        <w:pStyle w:val="Questionarie-instance"/>
        <w:keepLines/>
        <w:rPr>
          <w:lang w:val="en-US"/>
        </w:rPr>
      </w:pPr>
      <w:r>
        <w:rPr>
          <w:lang w:val="en-US"/>
        </w:rPr>
        <w:t>Austria</w:t>
      </w:r>
      <w:r w:rsidR="0063334D">
        <w:rPr>
          <w:lang w:val="en-US"/>
        </w:rPr>
        <w:t xml:space="preserve">, Albania, </w:t>
      </w:r>
      <w:r>
        <w:rPr>
          <w:lang w:val="en-US"/>
        </w:rPr>
        <w:t xml:space="preserve">and Poland refer to R&amp;TTE equipment class 1, </w:t>
      </w:r>
      <w:r w:rsidR="00C06368" w:rsidRPr="00C06368">
        <w:rPr>
          <w:lang w:val="en-US"/>
        </w:rPr>
        <w:t>sub-class 14</w:t>
      </w:r>
      <w:r>
        <w:rPr>
          <w:lang w:val="en-US"/>
        </w:rPr>
        <w:t xml:space="preserve"> (</w:t>
      </w:r>
      <w:r w:rsidRPr="009450D3">
        <w:rPr>
          <w:lang w:val="en-US"/>
        </w:rPr>
        <w:t>Class 1 equipment is equipment that can be placed on the market and be put into service without restrictions</w:t>
      </w:r>
      <w:r>
        <w:rPr>
          <w:lang w:val="en-US"/>
        </w:rPr>
        <w:t xml:space="preserve">), see </w:t>
      </w:r>
      <w:hyperlink r:id="rId6" w:history="1">
        <w:r w:rsidRPr="00EB6A98">
          <w:rPr>
            <w:rStyle w:val="Hyperlink"/>
            <w:lang w:val="en-US"/>
          </w:rPr>
          <w:t>http://www.efis.dk/sitecontent.jsp?sitecontent=RTTE_sub-classes</w:t>
        </w:r>
      </w:hyperlink>
      <w:r>
        <w:rPr>
          <w:lang w:val="en-US"/>
        </w:rPr>
        <w:t xml:space="preserve"> </w:t>
      </w:r>
    </w:p>
    <w:p w:rsidR="009450D3" w:rsidRDefault="009450D3">
      <w:pPr>
        <w:pStyle w:val="Questionarie-instance"/>
        <w:keepLines/>
        <w:rPr>
          <w:lang w:val="en-US"/>
        </w:rPr>
      </w:pPr>
    </w:p>
    <w:p w:rsidR="00897580" w:rsidRDefault="00897580">
      <w:pPr>
        <w:pStyle w:val="Questionarie-instance"/>
        <w:keepLines/>
        <w:rPr>
          <w:lang w:val="en-US"/>
        </w:rPr>
      </w:pPr>
    </w:p>
    <w:p w:rsidR="009450D3" w:rsidRDefault="009450D3">
      <w:pPr>
        <w:pStyle w:val="Questionarie-instance"/>
        <w:keepLines/>
        <w:rPr>
          <w:lang w:val="en-US"/>
        </w:rPr>
      </w:pPr>
      <w:r>
        <w:rPr>
          <w:lang w:val="en-US"/>
        </w:rPr>
        <w:t xml:space="preserve">In </w:t>
      </w:r>
      <w:r w:rsidR="008077D5">
        <w:rPr>
          <w:lang w:val="en-US"/>
        </w:rPr>
        <w:t xml:space="preserve">most of the </w:t>
      </w:r>
      <w:r>
        <w:rPr>
          <w:lang w:val="en-US"/>
        </w:rPr>
        <w:t>countries, there is either no explicit license requirement specified</w:t>
      </w:r>
      <w:r w:rsidR="006E2599">
        <w:rPr>
          <w:lang w:val="en-US"/>
        </w:rPr>
        <w:t xml:space="preserve"> for individual terminals</w:t>
      </w:r>
      <w:r>
        <w:rPr>
          <w:lang w:val="en-US"/>
        </w:rPr>
        <w:t xml:space="preserve">, a license-exempt policy applies for all Iridium </w:t>
      </w:r>
      <w:r w:rsidR="006E2599">
        <w:rPr>
          <w:lang w:val="en-US"/>
        </w:rPr>
        <w:t>terminals</w:t>
      </w:r>
      <w:r>
        <w:rPr>
          <w:lang w:val="en-US"/>
        </w:rPr>
        <w:t>, or there is an individual license requirement for the Iridium network.</w:t>
      </w:r>
    </w:p>
    <w:p w:rsidR="00401B60" w:rsidRPr="00BF24FC" w:rsidRDefault="00401B60">
      <w:pPr>
        <w:pStyle w:val="Questionarie-instance"/>
        <w:keepLines/>
        <w:rPr>
          <w:lang w:val="en-US"/>
        </w:rPr>
      </w:pPr>
    </w:p>
    <w:tbl>
      <w:tblPr>
        <w:tblStyle w:val="Question-group-table"/>
        <w:tblW w:w="0" w:type="auto"/>
        <w:tblCellSpacing w:w="15" w:type="dxa"/>
        <w:tblInd w:w="165" w:type="dxa"/>
        <w:tblLayout w:type="fixed"/>
        <w:tblCellMar>
          <w:top w:w="15" w:type="dxa"/>
          <w:left w:w="15" w:type="dxa"/>
          <w:bottom w:w="15" w:type="dxa"/>
          <w:right w:w="15" w:type="dxa"/>
        </w:tblCellMar>
        <w:tblLook w:val="04A0" w:firstRow="1" w:lastRow="0" w:firstColumn="1" w:lastColumn="0" w:noHBand="0" w:noVBand="1"/>
      </w:tblPr>
      <w:tblGrid>
        <w:gridCol w:w="2157"/>
        <w:gridCol w:w="8040"/>
      </w:tblGrid>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C06368" w:rsidRDefault="006205E3">
            <w:pPr>
              <w:rPr>
                <w:lang w:val="en-US"/>
              </w:rPr>
            </w:pPr>
            <w:r w:rsidRPr="00C06368">
              <w:rPr>
                <w:rFonts w:ascii="Verdana" w:eastAsia="Verdana" w:hAnsi="Verdana" w:cs="Verdana"/>
                <w:sz w:val="18"/>
                <w:szCs w:val="18"/>
                <w:lang w:val="en-US"/>
              </w:rPr>
              <w:t>Albania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pPr>
              <w:rPr>
                <w:rFonts w:ascii="Verdana" w:eastAsia="Verdana" w:hAnsi="Verdana" w:cs="Verdana"/>
                <w:sz w:val="18"/>
                <w:szCs w:val="18"/>
                <w:lang w:val="en-US"/>
              </w:rPr>
            </w:pPr>
            <w:r w:rsidRPr="00BF24FC">
              <w:rPr>
                <w:rFonts w:ascii="Verdana" w:eastAsia="Verdana" w:hAnsi="Verdana" w:cs="Verdana"/>
                <w:sz w:val="18"/>
                <w:szCs w:val="18"/>
                <w:lang w:val="en-US"/>
              </w:rPr>
              <w:t xml:space="preserve">Based on the Law No. 9918, dated 19.05.2008, amended with the law No 102, dated 24.10.2012, AKEP have the right to provide Individual </w:t>
            </w:r>
            <w:proofErr w:type="spellStart"/>
            <w:r w:rsidRPr="00BF24FC">
              <w:rPr>
                <w:rFonts w:ascii="Verdana" w:eastAsia="Verdana" w:hAnsi="Verdana" w:cs="Verdana"/>
                <w:sz w:val="18"/>
                <w:szCs w:val="18"/>
                <w:lang w:val="en-US"/>
              </w:rPr>
              <w:t>Authorisation</w:t>
            </w:r>
            <w:proofErr w:type="spellEnd"/>
            <w:r w:rsidRPr="00BF24FC">
              <w:rPr>
                <w:rFonts w:ascii="Verdana" w:eastAsia="Verdana" w:hAnsi="Verdana" w:cs="Verdana"/>
                <w:sz w:val="18"/>
                <w:szCs w:val="18"/>
                <w:lang w:val="en-US"/>
              </w:rPr>
              <w:t xml:space="preserve"> (“For the allocation and the usage of frequencies of the satellite station (uplink)” only for the satellite operators that have been registered at the National Registration Centre of the Republic of Albania or to Service providers registered under the General </w:t>
            </w:r>
            <w:proofErr w:type="spellStart"/>
            <w:r w:rsidRPr="00BF24FC">
              <w:rPr>
                <w:rFonts w:ascii="Verdana" w:eastAsia="Verdana" w:hAnsi="Verdana" w:cs="Verdana"/>
                <w:sz w:val="18"/>
                <w:szCs w:val="18"/>
                <w:lang w:val="en-US"/>
              </w:rPr>
              <w:t>Authorisation</w:t>
            </w:r>
            <w:proofErr w:type="spellEnd"/>
            <w:r w:rsidRPr="00BF24FC">
              <w:rPr>
                <w:rFonts w:ascii="Verdana" w:eastAsia="Verdana" w:hAnsi="Verdana" w:cs="Verdana"/>
                <w:sz w:val="18"/>
                <w:szCs w:val="18"/>
                <w:lang w:val="en-US"/>
              </w:rPr>
              <w:t xml:space="preserve"> regime in AKEP. </w:t>
            </w:r>
            <w:r w:rsidRPr="00BF24FC">
              <w:rPr>
                <w:rFonts w:ascii="Verdana" w:eastAsia="Verdana" w:hAnsi="Verdana" w:cs="Verdana"/>
                <w:sz w:val="18"/>
                <w:szCs w:val="18"/>
                <w:lang w:val="en-US"/>
              </w:rPr>
              <w:br/>
              <w:t xml:space="preserve">Iridium is </w:t>
            </w:r>
            <w:r w:rsidRPr="00401B60">
              <w:rPr>
                <w:rFonts w:ascii="Verdana" w:eastAsia="Verdana" w:hAnsi="Verdana" w:cs="Verdana"/>
                <w:sz w:val="18"/>
                <w:szCs w:val="18"/>
                <w:u w:val="single"/>
                <w:lang w:val="en-US"/>
              </w:rPr>
              <w:t>not</w:t>
            </w:r>
            <w:r w:rsidRPr="00BF24FC">
              <w:rPr>
                <w:rFonts w:ascii="Verdana" w:eastAsia="Verdana" w:hAnsi="Verdana" w:cs="Verdana"/>
                <w:sz w:val="18"/>
                <w:szCs w:val="18"/>
                <w:lang w:val="en-US"/>
              </w:rPr>
              <w:t xml:space="preserve"> registered at the National Registration Centre of the Republic of Albania. </w:t>
            </w:r>
          </w:p>
          <w:p w:rsidR="005E2D82" w:rsidRPr="00BF24FC" w:rsidRDefault="005E2D82">
            <w:pPr>
              <w:rPr>
                <w:lang w:val="en-US"/>
              </w:rPr>
            </w:pPr>
            <w:r w:rsidRPr="005E2D82">
              <w:rPr>
                <w:lang w:val="en-US"/>
              </w:rPr>
              <w:t>Albania refer</w:t>
            </w:r>
            <w:r>
              <w:rPr>
                <w:lang w:val="en-US"/>
              </w:rPr>
              <w:t>s</w:t>
            </w:r>
            <w:r w:rsidRPr="005E2D82">
              <w:rPr>
                <w:lang w:val="en-US"/>
              </w:rPr>
              <w:t xml:space="preserve"> to R&amp;TTE equipment class 1, sub-class 14 (Class 1 equipment is equipment that can be placed on the market and be put into service without restrictions.</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Austria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exempt approach. Operation of S-PCS applications according to the parameters given in sub-class 14 according to 2000/299/EC (Version July 2014) in the frequency bands 1610 </w:t>
            </w:r>
            <w:r w:rsidR="00424101">
              <w:rPr>
                <w:rFonts w:ascii="Verdana" w:eastAsia="Verdana" w:hAnsi="Verdana" w:cs="Verdana"/>
                <w:sz w:val="18"/>
                <w:szCs w:val="18"/>
                <w:lang w:val="en-US"/>
              </w:rPr>
              <w:t>–</w:t>
            </w:r>
            <w:r w:rsidRPr="00BF24FC">
              <w:rPr>
                <w:rFonts w:ascii="Verdana" w:eastAsia="Verdana" w:hAnsi="Verdana" w:cs="Verdana"/>
                <w:sz w:val="18"/>
                <w:szCs w:val="18"/>
                <w:lang w:val="en-US"/>
              </w:rPr>
              <w:t xml:space="preserve"> 1613.5 MHz and 1613.5 </w:t>
            </w:r>
            <w:r w:rsidR="00424101">
              <w:rPr>
                <w:rFonts w:ascii="Verdana" w:eastAsia="Verdana" w:hAnsi="Verdana" w:cs="Verdana"/>
                <w:sz w:val="18"/>
                <w:szCs w:val="18"/>
                <w:lang w:val="en-US"/>
              </w:rPr>
              <w:t>–</w:t>
            </w:r>
            <w:r w:rsidRPr="00BF24FC">
              <w:rPr>
                <w:rFonts w:ascii="Verdana" w:eastAsia="Verdana" w:hAnsi="Verdana" w:cs="Verdana"/>
                <w:sz w:val="18"/>
                <w:szCs w:val="18"/>
                <w:lang w:val="en-US"/>
              </w:rPr>
              <w:t xml:space="preserve"> 1626.5 </w:t>
            </w:r>
            <w:proofErr w:type="spellStart"/>
            <w:r w:rsidRPr="00BF24FC">
              <w:rPr>
                <w:rFonts w:ascii="Verdana" w:eastAsia="Verdana" w:hAnsi="Verdana" w:cs="Verdana"/>
                <w:sz w:val="18"/>
                <w:szCs w:val="18"/>
                <w:lang w:val="en-US"/>
              </w:rPr>
              <w:t>MHz.</w:t>
            </w:r>
            <w:proofErr w:type="spellEnd"/>
            <w:r w:rsidRPr="00BF24FC">
              <w:rPr>
                <w:rFonts w:ascii="Verdana" w:eastAsia="Verdana" w:hAnsi="Verdana" w:cs="Verdana"/>
                <w:sz w:val="18"/>
                <w:szCs w:val="18"/>
                <w:lang w:val="en-US"/>
              </w:rPr>
              <w:t xml:space="preserv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Belgium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License exemption policy for both uplink and downlink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Bulgaria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Bulgarian administration follows license exemption policy. </w:t>
            </w:r>
            <w:r w:rsidRPr="00BF24FC">
              <w:rPr>
                <w:rFonts w:ascii="Verdana" w:eastAsia="Verdana" w:hAnsi="Verdana" w:cs="Verdana"/>
                <w:sz w:val="18"/>
                <w:szCs w:val="18"/>
                <w:lang w:val="en-US"/>
              </w:rPr>
              <w:br/>
              <w:t xml:space="preserve">The provision of electronic communications through Mobile Earth Stations (MES’s) shall be carried out on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exempt basis.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Croatia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Answer: General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is issued and covers Iridium S-PCS terminals (uplink and downlink). </w:t>
            </w:r>
          </w:p>
        </w:tc>
      </w:tr>
      <w:tr w:rsidR="006205E3" w:rsidRPr="001D510F"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Cyprus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We follow a license exemption policy in accordance to the ECC/DEC</w:t>
            </w:r>
            <w:proofErr w:type="gramStart"/>
            <w:r w:rsidRPr="00BF24FC">
              <w:rPr>
                <w:rFonts w:ascii="Verdana" w:eastAsia="Verdana" w:hAnsi="Verdana" w:cs="Verdana"/>
                <w:sz w:val="18"/>
                <w:szCs w:val="18"/>
                <w:lang w:val="en-US"/>
              </w:rPr>
              <w:t>/(</w:t>
            </w:r>
            <w:proofErr w:type="gramEnd"/>
            <w:r w:rsidRPr="00BF24FC">
              <w:rPr>
                <w:rFonts w:ascii="Verdana" w:eastAsia="Verdana" w:hAnsi="Verdana" w:cs="Verdana"/>
                <w:sz w:val="18"/>
                <w:szCs w:val="18"/>
                <w:lang w:val="en-US"/>
              </w:rPr>
              <w:t xml:space="preserve">09)02 and ECC/DEC/(12)01. </w:t>
            </w:r>
          </w:p>
        </w:tc>
      </w:tr>
      <w:tr w:rsidR="006205E3" w:rsidRPr="00C5628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Czech Republic</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C06368" w:rsidRDefault="006205E3" w:rsidP="00E708E3">
            <w:pPr>
              <w:rPr>
                <w:lang w:val="en-US"/>
              </w:rPr>
            </w:pPr>
            <w:r w:rsidRPr="00BF24FC">
              <w:rPr>
                <w:rFonts w:ascii="Verdana" w:eastAsia="Verdana" w:hAnsi="Verdana" w:cs="Verdana"/>
                <w:sz w:val="18"/>
                <w:szCs w:val="18"/>
                <w:lang w:val="en-US"/>
              </w:rPr>
              <w:t xml:space="preserve">The Czech Republic does not </w:t>
            </w:r>
            <w:r w:rsidR="00C5628C">
              <w:rPr>
                <w:rFonts w:ascii="Verdana" w:eastAsia="Verdana" w:hAnsi="Verdana" w:cs="Verdana"/>
                <w:sz w:val="18"/>
                <w:szCs w:val="18"/>
                <w:lang w:val="en-US"/>
              </w:rPr>
              <w:t>a</w:t>
            </w:r>
            <w:r w:rsidR="00424101">
              <w:rPr>
                <w:rFonts w:ascii="Verdana" w:eastAsia="Verdana" w:hAnsi="Verdana" w:cs="Verdana"/>
                <w:sz w:val="18"/>
                <w:szCs w:val="18"/>
                <w:lang w:val="en-US"/>
              </w:rPr>
              <w:t>uthori</w:t>
            </w:r>
            <w:r w:rsidR="00E708E3">
              <w:rPr>
                <w:rFonts w:ascii="Verdana" w:eastAsia="Verdana" w:hAnsi="Verdana" w:cs="Verdana"/>
                <w:sz w:val="18"/>
                <w:szCs w:val="18"/>
                <w:lang w:val="en-US"/>
              </w:rPr>
              <w:t>se</w:t>
            </w:r>
            <w:r w:rsidRPr="00BF24FC">
              <w:rPr>
                <w:rFonts w:ascii="Verdana" w:eastAsia="Verdana" w:hAnsi="Verdana" w:cs="Verdana"/>
                <w:sz w:val="18"/>
                <w:szCs w:val="18"/>
                <w:lang w:val="en-US"/>
              </w:rPr>
              <w:t xml:space="preserve"> operation of space segment. </w:t>
            </w:r>
            <w:r w:rsidRPr="00C06368">
              <w:rPr>
                <w:rFonts w:ascii="Verdana" w:eastAsia="Verdana" w:hAnsi="Verdana" w:cs="Verdana"/>
                <w:sz w:val="18"/>
                <w:szCs w:val="18"/>
                <w:lang w:val="en-US"/>
              </w:rPr>
              <w:t xml:space="preserve">Operation of User terminals is </w:t>
            </w:r>
            <w:proofErr w:type="spellStart"/>
            <w:r w:rsidR="00E708E3">
              <w:rPr>
                <w:rFonts w:ascii="Verdana" w:eastAsia="Verdana" w:hAnsi="Verdana" w:cs="Verdana"/>
                <w:sz w:val="18"/>
                <w:szCs w:val="18"/>
                <w:lang w:val="en-US"/>
              </w:rPr>
              <w:t>a</w:t>
            </w:r>
            <w:r w:rsidR="00424101">
              <w:rPr>
                <w:rFonts w:ascii="Verdana" w:eastAsia="Verdana" w:hAnsi="Verdana" w:cs="Verdana"/>
                <w:sz w:val="18"/>
                <w:szCs w:val="18"/>
                <w:lang w:val="en-US"/>
              </w:rPr>
              <w:t>uthori</w:t>
            </w:r>
            <w:r w:rsidR="00E708E3">
              <w:rPr>
                <w:rFonts w:ascii="Verdana" w:eastAsia="Verdana" w:hAnsi="Verdana" w:cs="Verdana"/>
                <w:sz w:val="18"/>
                <w:szCs w:val="18"/>
                <w:lang w:val="en-US"/>
              </w:rPr>
              <w:t>sed</w:t>
            </w:r>
            <w:proofErr w:type="spellEnd"/>
            <w:r w:rsidRPr="00C06368">
              <w:rPr>
                <w:rFonts w:ascii="Verdana" w:eastAsia="Verdana" w:hAnsi="Verdana" w:cs="Verdana"/>
                <w:sz w:val="18"/>
                <w:szCs w:val="18"/>
                <w:lang w:val="en-US"/>
              </w:rPr>
              <w:t xml:space="preserve"> through General </w:t>
            </w:r>
            <w:proofErr w:type="spellStart"/>
            <w:r w:rsidRPr="00C06368">
              <w:rPr>
                <w:rFonts w:ascii="Verdana" w:eastAsia="Verdana" w:hAnsi="Verdana" w:cs="Verdana"/>
                <w:sz w:val="18"/>
                <w:szCs w:val="18"/>
                <w:lang w:val="en-US"/>
              </w:rPr>
              <w:t>licence</w:t>
            </w:r>
            <w:proofErr w:type="spellEnd"/>
            <w:r w:rsidRPr="00C06368">
              <w:rPr>
                <w:rFonts w:ascii="Verdana" w:eastAsia="Verdana" w:hAnsi="Verdana" w:cs="Verdana"/>
                <w:sz w:val="18"/>
                <w:szCs w:val="18"/>
                <w:lang w:val="en-US"/>
              </w:rPr>
              <w:t xml:space="preserv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Denmark</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License exempt policy (1610-1660.5 MHz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Estonia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License exemption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Finland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Finland has exempt from </w:t>
            </w:r>
            <w:proofErr w:type="spellStart"/>
            <w:r w:rsidRPr="00BF24FC">
              <w:rPr>
                <w:rFonts w:ascii="Verdana" w:eastAsia="Verdana" w:hAnsi="Verdana" w:cs="Verdana"/>
                <w:sz w:val="18"/>
                <w:szCs w:val="18"/>
                <w:lang w:val="en-US"/>
              </w:rPr>
              <w:t>licencing</w:t>
            </w:r>
            <w:proofErr w:type="spellEnd"/>
            <w:r w:rsidRPr="00BF24FC">
              <w:rPr>
                <w:rFonts w:ascii="Verdana" w:eastAsia="Verdana" w:hAnsi="Verdana" w:cs="Verdana"/>
                <w:sz w:val="18"/>
                <w:szCs w:val="18"/>
                <w:lang w:val="en-US"/>
              </w:rPr>
              <w:t xml:space="preserve"> mobile satellite uplinks according to ECC Decision (12)01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pPr>
              <w:rPr>
                <w:rFonts w:ascii="Verdana" w:eastAsia="Verdana" w:hAnsi="Verdana" w:cs="Verdana"/>
                <w:sz w:val="18"/>
                <w:szCs w:val="18"/>
              </w:rPr>
            </w:pPr>
            <w:r>
              <w:rPr>
                <w:rFonts w:ascii="Verdana" w:eastAsia="Verdana" w:hAnsi="Verdana" w:cs="Verdana"/>
                <w:sz w:val="18"/>
                <w:szCs w:val="18"/>
              </w:rPr>
              <w:t>France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FA7622" w:rsidRDefault="006205E3">
            <w:pPr>
              <w:rPr>
                <w:rFonts w:ascii="Verdana" w:eastAsia="Verdana" w:hAnsi="Verdana" w:cs="Verdana"/>
                <w:sz w:val="18"/>
                <w:szCs w:val="18"/>
                <w:lang w:val="fr-FR"/>
              </w:rPr>
            </w:pPr>
            <w:r w:rsidRPr="00FA7622">
              <w:rPr>
                <w:rFonts w:ascii="Verdana" w:eastAsia="Verdana" w:hAnsi="Verdana" w:cs="Verdana"/>
                <w:sz w:val="18"/>
                <w:szCs w:val="18"/>
                <w:lang w:val="fr-FR"/>
              </w:rPr>
              <w:t xml:space="preserve">The French </w:t>
            </w:r>
            <w:proofErr w:type="spellStart"/>
            <w:r w:rsidRPr="00FA7622">
              <w:rPr>
                <w:rFonts w:ascii="Verdana" w:eastAsia="Verdana" w:hAnsi="Verdana" w:cs="Verdana"/>
                <w:sz w:val="18"/>
                <w:szCs w:val="18"/>
                <w:lang w:val="fr-FR"/>
              </w:rPr>
              <w:t>frequency</w:t>
            </w:r>
            <w:proofErr w:type="spellEnd"/>
            <w:r w:rsidRPr="00FA7622">
              <w:rPr>
                <w:rFonts w:ascii="Verdana" w:eastAsia="Verdana" w:hAnsi="Verdana" w:cs="Verdana"/>
                <w:sz w:val="18"/>
                <w:szCs w:val="18"/>
                <w:lang w:val="fr-FR"/>
              </w:rPr>
              <w:t xml:space="preserve"> </w:t>
            </w:r>
            <w:proofErr w:type="spellStart"/>
            <w:r w:rsidRPr="00FA7622">
              <w:rPr>
                <w:rFonts w:ascii="Verdana" w:eastAsia="Verdana" w:hAnsi="Verdana" w:cs="Verdana"/>
                <w:sz w:val="18"/>
                <w:szCs w:val="18"/>
                <w:lang w:val="fr-FR"/>
              </w:rPr>
              <w:t>regulator</w:t>
            </w:r>
            <w:proofErr w:type="spellEnd"/>
            <w:r w:rsidRPr="00FA7622">
              <w:rPr>
                <w:rFonts w:ascii="Verdana" w:eastAsia="Verdana" w:hAnsi="Verdana" w:cs="Verdana"/>
                <w:sz w:val="18"/>
                <w:szCs w:val="18"/>
                <w:lang w:val="fr-FR"/>
              </w:rPr>
              <w:t xml:space="preserve"> (ARCEP) </w:t>
            </w:r>
            <w:proofErr w:type="spellStart"/>
            <w:r w:rsidRPr="00FA7622">
              <w:rPr>
                <w:rFonts w:ascii="Verdana" w:eastAsia="Verdana" w:hAnsi="Verdana" w:cs="Verdana"/>
                <w:sz w:val="18"/>
                <w:szCs w:val="18"/>
                <w:lang w:val="fr-FR"/>
              </w:rPr>
              <w:t>issued</w:t>
            </w:r>
            <w:proofErr w:type="spellEnd"/>
            <w:r w:rsidRPr="00FA7622">
              <w:rPr>
                <w:rFonts w:ascii="Verdana" w:eastAsia="Verdana" w:hAnsi="Verdana" w:cs="Verdana"/>
                <w:sz w:val="18"/>
                <w:szCs w:val="18"/>
                <w:lang w:val="fr-FR"/>
              </w:rPr>
              <w:t xml:space="preserve"> an </w:t>
            </w:r>
            <w:proofErr w:type="spellStart"/>
            <w:r w:rsidRPr="00FA7622">
              <w:rPr>
                <w:rFonts w:ascii="Verdana" w:eastAsia="Verdana" w:hAnsi="Verdana" w:cs="Verdana"/>
                <w:sz w:val="18"/>
                <w:szCs w:val="18"/>
                <w:lang w:val="fr-FR"/>
              </w:rPr>
              <w:t>individual</w:t>
            </w:r>
            <w:proofErr w:type="spellEnd"/>
            <w:r w:rsidRPr="00FA7622">
              <w:rPr>
                <w:rFonts w:ascii="Verdana" w:eastAsia="Verdana" w:hAnsi="Verdana" w:cs="Verdana"/>
                <w:sz w:val="18"/>
                <w:szCs w:val="18"/>
                <w:lang w:val="fr-FR"/>
              </w:rPr>
              <w:t xml:space="preserve"> </w:t>
            </w:r>
            <w:proofErr w:type="spellStart"/>
            <w:r w:rsidRPr="00FA7622">
              <w:rPr>
                <w:rFonts w:ascii="Verdana" w:eastAsia="Verdana" w:hAnsi="Verdana" w:cs="Verdana"/>
                <w:sz w:val="18"/>
                <w:szCs w:val="18"/>
                <w:lang w:val="fr-FR"/>
              </w:rPr>
              <w:t>license</w:t>
            </w:r>
            <w:proofErr w:type="spellEnd"/>
            <w:r w:rsidRPr="00FA7622">
              <w:rPr>
                <w:rFonts w:ascii="Verdana" w:eastAsia="Verdana" w:hAnsi="Verdana" w:cs="Verdana"/>
                <w:sz w:val="18"/>
                <w:szCs w:val="18"/>
                <w:lang w:val="fr-FR"/>
              </w:rPr>
              <w:t xml:space="preserve"> to Iridium </w:t>
            </w:r>
            <w:proofErr w:type="spellStart"/>
            <w:r w:rsidRPr="00FA7622">
              <w:rPr>
                <w:rFonts w:ascii="Verdana" w:eastAsia="Verdana" w:hAnsi="Verdana" w:cs="Verdana"/>
                <w:sz w:val="18"/>
                <w:szCs w:val="18"/>
                <w:lang w:val="fr-FR"/>
              </w:rPr>
              <w:t>Italia</w:t>
            </w:r>
            <w:proofErr w:type="spellEnd"/>
            <w:r w:rsidRPr="00FA7622">
              <w:rPr>
                <w:rFonts w:ascii="Verdana" w:eastAsia="Verdana" w:hAnsi="Verdana" w:cs="Verdana"/>
                <w:sz w:val="18"/>
                <w:szCs w:val="18"/>
                <w:lang w:val="fr-FR"/>
              </w:rPr>
              <w:t xml:space="preserve"> </w:t>
            </w:r>
            <w:proofErr w:type="spellStart"/>
            <w:r w:rsidRPr="00FA7622">
              <w:rPr>
                <w:rFonts w:ascii="Verdana" w:eastAsia="Verdana" w:hAnsi="Verdana" w:cs="Verdana"/>
                <w:sz w:val="18"/>
                <w:szCs w:val="18"/>
                <w:lang w:val="fr-FR"/>
              </w:rPr>
              <w:t>S.r.l</w:t>
            </w:r>
            <w:proofErr w:type="spellEnd"/>
            <w:r w:rsidRPr="00FA7622">
              <w:rPr>
                <w:rFonts w:ascii="Verdana" w:eastAsia="Verdana" w:hAnsi="Verdana" w:cs="Verdana"/>
                <w:sz w:val="18"/>
                <w:szCs w:val="18"/>
                <w:lang w:val="fr-FR"/>
              </w:rPr>
              <w:t xml:space="preserve">. on March 25, 2004 : “ Décision n° 04-311 de l’Autorité de </w:t>
            </w:r>
            <w:r w:rsidR="003F07A4" w:rsidRPr="00FA7622">
              <w:rPr>
                <w:rFonts w:ascii="Verdana" w:eastAsia="Verdana" w:hAnsi="Verdana" w:cs="Verdana"/>
                <w:sz w:val="18"/>
                <w:szCs w:val="18"/>
                <w:lang w:val="fr-FR"/>
              </w:rPr>
              <w:t>régulation</w:t>
            </w:r>
            <w:r w:rsidRPr="00FA7622">
              <w:rPr>
                <w:rFonts w:ascii="Verdana" w:eastAsia="Verdana" w:hAnsi="Verdana" w:cs="Verdana"/>
                <w:sz w:val="18"/>
                <w:szCs w:val="18"/>
                <w:lang w:val="fr-FR"/>
              </w:rPr>
              <w:t xml:space="preserve"> des télécommunications en date du 25 mars 2004 portant autorisation d</w:t>
            </w:r>
            <w:r w:rsidR="00424101" w:rsidRPr="00FA7622">
              <w:rPr>
                <w:rFonts w:ascii="Verdana" w:eastAsia="Verdana" w:hAnsi="Verdana" w:cs="Verdana"/>
                <w:sz w:val="18"/>
                <w:szCs w:val="18"/>
                <w:lang w:val="fr-FR"/>
              </w:rPr>
              <w:t>’</w:t>
            </w:r>
            <w:r w:rsidRPr="00FA7622">
              <w:rPr>
                <w:rFonts w:ascii="Verdana" w:eastAsia="Verdana" w:hAnsi="Verdana" w:cs="Verdana"/>
                <w:sz w:val="18"/>
                <w:szCs w:val="18"/>
                <w:lang w:val="fr-FR"/>
              </w:rPr>
              <w:t xml:space="preserve">utilisation de fréquences radioélectriques à la société Iridium </w:t>
            </w:r>
            <w:proofErr w:type="spellStart"/>
            <w:r w:rsidRPr="00FA7622">
              <w:rPr>
                <w:rFonts w:ascii="Verdana" w:eastAsia="Verdana" w:hAnsi="Verdana" w:cs="Verdana"/>
                <w:sz w:val="18"/>
                <w:szCs w:val="18"/>
                <w:lang w:val="fr-FR"/>
              </w:rPr>
              <w:t>Italia</w:t>
            </w:r>
            <w:proofErr w:type="spellEnd"/>
            <w:r w:rsidRPr="00FA7622">
              <w:rPr>
                <w:rFonts w:ascii="Verdana" w:eastAsia="Verdana" w:hAnsi="Verdana" w:cs="Verdana"/>
                <w:sz w:val="18"/>
                <w:szCs w:val="18"/>
                <w:lang w:val="fr-FR"/>
              </w:rPr>
              <w:t xml:space="preserve"> </w:t>
            </w:r>
            <w:proofErr w:type="spellStart"/>
            <w:r w:rsidRPr="00FA7622">
              <w:rPr>
                <w:rFonts w:ascii="Verdana" w:eastAsia="Verdana" w:hAnsi="Verdana" w:cs="Verdana"/>
                <w:sz w:val="18"/>
                <w:szCs w:val="18"/>
                <w:lang w:val="fr-FR"/>
              </w:rPr>
              <w:t>S.r.l</w:t>
            </w:r>
            <w:proofErr w:type="spellEnd"/>
            <w:r w:rsidRPr="00FA7622">
              <w:rPr>
                <w:rFonts w:ascii="Verdana" w:eastAsia="Verdana" w:hAnsi="Verdana" w:cs="Verdana"/>
                <w:sz w:val="18"/>
                <w:szCs w:val="18"/>
                <w:lang w:val="fr-FR"/>
              </w:rPr>
              <w:t>.”.</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Germany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C5628C">
            <w:pPr>
              <w:rPr>
                <w:lang w:val="en-US"/>
              </w:rPr>
            </w:pPr>
            <w:r w:rsidRPr="00BF24FC">
              <w:rPr>
                <w:rFonts w:ascii="Verdana" w:eastAsia="Verdana" w:hAnsi="Verdana" w:cs="Verdana"/>
                <w:sz w:val="18"/>
                <w:szCs w:val="18"/>
                <w:lang w:val="en-US"/>
              </w:rPr>
              <w:t xml:space="preserve">In Germany the operation of Iridium terminals is </w:t>
            </w:r>
            <w:proofErr w:type="spellStart"/>
            <w:r w:rsidR="00C5628C">
              <w:rPr>
                <w:rFonts w:ascii="Verdana" w:eastAsia="Verdana" w:hAnsi="Verdana" w:cs="Verdana"/>
                <w:sz w:val="18"/>
                <w:szCs w:val="18"/>
                <w:lang w:val="en-US"/>
              </w:rPr>
              <w:t>a</w:t>
            </w:r>
            <w:r w:rsidR="00424101">
              <w:rPr>
                <w:rFonts w:ascii="Verdana" w:eastAsia="Verdana" w:hAnsi="Verdana" w:cs="Verdana"/>
                <w:sz w:val="18"/>
                <w:szCs w:val="18"/>
                <w:lang w:val="en-US"/>
              </w:rPr>
              <w:t>uthori</w:t>
            </w:r>
            <w:r w:rsidR="00C5628C">
              <w:rPr>
                <w:rFonts w:ascii="Verdana" w:eastAsia="Verdana" w:hAnsi="Verdana" w:cs="Verdana"/>
                <w:sz w:val="18"/>
                <w:szCs w:val="18"/>
                <w:lang w:val="en-US"/>
              </w:rPr>
              <w:t>sed</w:t>
            </w:r>
            <w:proofErr w:type="spellEnd"/>
            <w:r w:rsidRPr="00BF24FC">
              <w:rPr>
                <w:rFonts w:ascii="Verdana" w:eastAsia="Verdana" w:hAnsi="Verdana" w:cs="Verdana"/>
                <w:sz w:val="18"/>
                <w:szCs w:val="18"/>
                <w:lang w:val="en-US"/>
              </w:rPr>
              <w:t xml:space="preserve"> through an individual </w:t>
            </w:r>
            <w:proofErr w:type="spellStart"/>
            <w:r w:rsidR="00C5628C">
              <w:rPr>
                <w:rFonts w:ascii="Verdana" w:eastAsia="Verdana" w:hAnsi="Verdana" w:cs="Verdana"/>
                <w:sz w:val="18"/>
                <w:szCs w:val="18"/>
                <w:lang w:val="en-US"/>
              </w:rPr>
              <w:t>a</w:t>
            </w:r>
            <w:r w:rsidR="00424101">
              <w:rPr>
                <w:rFonts w:ascii="Verdana" w:eastAsia="Verdana" w:hAnsi="Verdana" w:cs="Verdana"/>
                <w:sz w:val="18"/>
                <w:szCs w:val="18"/>
                <w:lang w:val="en-US"/>
              </w:rPr>
              <w:t>uthori</w:t>
            </w:r>
            <w:r w:rsidR="00C5628C">
              <w:rPr>
                <w:rFonts w:ascii="Verdana" w:eastAsia="Verdana" w:hAnsi="Verdana" w:cs="Verdana"/>
                <w:sz w:val="18"/>
                <w:szCs w:val="18"/>
                <w:lang w:val="en-US"/>
              </w:rPr>
              <w:t>s</w:t>
            </w:r>
            <w:r w:rsidR="00424101">
              <w:rPr>
                <w:rFonts w:ascii="Verdana" w:eastAsia="Verdana" w:hAnsi="Verdana" w:cs="Verdana"/>
                <w:sz w:val="18"/>
                <w:szCs w:val="18"/>
                <w:lang w:val="en-US"/>
              </w:rPr>
              <w:t>ation</w:t>
            </w:r>
            <w:proofErr w:type="spellEnd"/>
            <w:r w:rsidRPr="00BF24FC">
              <w:rPr>
                <w:rFonts w:ascii="Verdana" w:eastAsia="Verdana" w:hAnsi="Verdana" w:cs="Verdana"/>
                <w:sz w:val="18"/>
                <w:szCs w:val="18"/>
                <w:lang w:val="en-US"/>
              </w:rPr>
              <w:t xml:space="preserve"> which covers up-links.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Greece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Answer: </w:t>
            </w:r>
            <w:r>
              <w:rPr>
                <w:rFonts w:ascii="Verdana" w:eastAsia="Verdana" w:hAnsi="Verdana" w:cs="Verdana"/>
                <w:sz w:val="18"/>
                <w:szCs w:val="18"/>
              </w:rPr>
              <w:t>ΕΕΤΤ</w:t>
            </w:r>
            <w:r w:rsidRPr="00BF24FC">
              <w:rPr>
                <w:rFonts w:ascii="Verdana" w:eastAsia="Verdana" w:hAnsi="Verdana" w:cs="Verdana"/>
                <w:sz w:val="18"/>
                <w:szCs w:val="18"/>
                <w:lang w:val="en-US"/>
              </w:rPr>
              <w:t>, according to its Decision no 721/2/12-6-2014 “Regulation on Terms of frequency Usage (published at official gazette CMD 1713/</w:t>
            </w:r>
            <w:r>
              <w:rPr>
                <w:rFonts w:ascii="Verdana" w:eastAsia="Verdana" w:hAnsi="Verdana" w:cs="Verdana"/>
                <w:sz w:val="18"/>
                <w:szCs w:val="18"/>
              </w:rPr>
              <w:t>Β</w:t>
            </w:r>
            <w:r w:rsidRPr="00BF24FC">
              <w:rPr>
                <w:rFonts w:ascii="Verdana" w:eastAsia="Verdana" w:hAnsi="Verdana" w:cs="Verdana"/>
                <w:sz w:val="18"/>
                <w:szCs w:val="18"/>
                <w:lang w:val="en-US"/>
              </w:rPr>
              <w:t xml:space="preserve">/26-6-2014) has implemented the ECC DEC (12)/01 «Exemption from individual licensing and free circulation and use of terrestrial and satellite mobile terminals operating under the control of networks» (approved 01 June 2012) and individual licensing is not required for the provision of electronic communications services in the following frequency bands: </w:t>
            </w:r>
            <w:r w:rsidRPr="00BF24FC">
              <w:rPr>
                <w:rFonts w:ascii="Verdana" w:eastAsia="Verdana" w:hAnsi="Verdana" w:cs="Verdana"/>
                <w:sz w:val="18"/>
                <w:szCs w:val="18"/>
                <w:lang w:val="en-US"/>
              </w:rPr>
              <w:br/>
            </w:r>
            <w:r w:rsidRPr="00BF24FC">
              <w:rPr>
                <w:rFonts w:ascii="Verdana" w:eastAsia="Verdana" w:hAnsi="Verdana" w:cs="Verdana"/>
                <w:sz w:val="18"/>
                <w:szCs w:val="18"/>
                <w:lang w:val="en-US"/>
              </w:rPr>
              <w:br/>
            </w:r>
            <w:r w:rsidRPr="00BF24FC">
              <w:rPr>
                <w:rFonts w:ascii="Verdana" w:eastAsia="Verdana" w:hAnsi="Verdana" w:cs="Verdana"/>
                <w:sz w:val="18"/>
                <w:szCs w:val="18"/>
                <w:lang w:val="en-US"/>
              </w:rPr>
              <w:br/>
              <w:t xml:space="preserve">1610 – 1626,5 MHz (E-s) </w:t>
            </w:r>
            <w:r w:rsidRPr="00BF24FC">
              <w:rPr>
                <w:rFonts w:ascii="Verdana" w:eastAsia="Verdana" w:hAnsi="Verdana" w:cs="Verdana"/>
                <w:sz w:val="18"/>
                <w:szCs w:val="18"/>
                <w:lang w:val="en-US"/>
              </w:rPr>
              <w:br/>
              <w:t xml:space="preserve">1613,8 – 1626,5 MHz (s-E) </w:t>
            </w:r>
            <w:r w:rsidRPr="00BF24FC">
              <w:rPr>
                <w:rFonts w:ascii="Verdana" w:eastAsia="Verdana" w:hAnsi="Verdana" w:cs="Verdana"/>
                <w:sz w:val="18"/>
                <w:szCs w:val="18"/>
                <w:lang w:val="en-US"/>
              </w:rPr>
              <w:br/>
              <w:t xml:space="preserve">2483,5 – 2500 MHz (s-E) </w:t>
            </w:r>
            <w:r w:rsidRPr="00BF24FC">
              <w:rPr>
                <w:rFonts w:ascii="Verdana" w:eastAsia="Verdana" w:hAnsi="Verdana" w:cs="Verdana"/>
                <w:sz w:val="18"/>
                <w:szCs w:val="18"/>
                <w:lang w:val="en-US"/>
              </w:rPr>
              <w:br/>
            </w:r>
            <w:r w:rsidRPr="00BF24FC">
              <w:rPr>
                <w:rFonts w:ascii="Verdana" w:eastAsia="Verdana" w:hAnsi="Verdana" w:cs="Verdana"/>
                <w:sz w:val="18"/>
                <w:szCs w:val="18"/>
                <w:lang w:val="en-US"/>
              </w:rPr>
              <w:br/>
              <w:t xml:space="preserve">The regulation and relevant info (Appendix A.6) are located in the following </w:t>
            </w:r>
            <w:proofErr w:type="spellStart"/>
            <w:r w:rsidRPr="00BF24FC">
              <w:rPr>
                <w:rFonts w:ascii="Verdana" w:eastAsia="Verdana" w:hAnsi="Verdana" w:cs="Verdana"/>
                <w:sz w:val="18"/>
                <w:szCs w:val="18"/>
                <w:lang w:val="en-US"/>
              </w:rPr>
              <w:t>url</w:t>
            </w:r>
            <w:proofErr w:type="spellEnd"/>
            <w:r w:rsidRPr="00BF24FC">
              <w:rPr>
                <w:rFonts w:ascii="Verdana" w:eastAsia="Verdana" w:hAnsi="Verdana" w:cs="Verdana"/>
                <w:sz w:val="18"/>
                <w:szCs w:val="18"/>
                <w:lang w:val="en-US"/>
              </w:rPr>
              <w:t xml:space="preserve"> link: </w:t>
            </w:r>
            <w:r w:rsidRPr="00BF24FC">
              <w:rPr>
                <w:rFonts w:ascii="Verdana" w:eastAsia="Verdana" w:hAnsi="Verdana" w:cs="Verdana"/>
                <w:sz w:val="18"/>
                <w:szCs w:val="18"/>
                <w:lang w:val="en-US"/>
              </w:rPr>
              <w:br/>
            </w:r>
            <w:r w:rsidRPr="00BF24FC">
              <w:rPr>
                <w:rFonts w:ascii="Verdana" w:eastAsia="Verdana" w:hAnsi="Verdana" w:cs="Verdana"/>
                <w:sz w:val="18"/>
                <w:szCs w:val="18"/>
                <w:lang w:val="en-US"/>
              </w:rPr>
              <w:br/>
              <w:t xml:space="preserve">http://www.eett.gr/opencms/export/sites/default/EETT/Electronic_Communications/Radio_Communications/Rigths_Of_Use/FEK1713_26-6-14.pdf </w:t>
            </w:r>
            <w:r w:rsidRPr="00BF24FC">
              <w:rPr>
                <w:rFonts w:ascii="Verdana" w:eastAsia="Verdana" w:hAnsi="Verdana" w:cs="Verdana"/>
                <w:sz w:val="18"/>
                <w:szCs w:val="18"/>
                <w:lang w:val="en-US"/>
              </w:rPr>
              <w:br/>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Hungary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There is </w:t>
            </w:r>
            <w:r w:rsidRPr="00401B60">
              <w:rPr>
                <w:rFonts w:ascii="Verdana" w:eastAsia="Verdana" w:hAnsi="Verdana" w:cs="Verdana"/>
                <w:sz w:val="18"/>
                <w:szCs w:val="18"/>
                <w:u w:val="single"/>
                <w:lang w:val="en-US"/>
              </w:rPr>
              <w:t>no</w:t>
            </w:r>
            <w:r w:rsidRPr="00BF24FC">
              <w:rPr>
                <w:rFonts w:ascii="Verdana" w:eastAsia="Verdana" w:hAnsi="Verdana" w:cs="Verdana"/>
                <w:sz w:val="18"/>
                <w:szCs w:val="18"/>
                <w:lang w:val="en-US"/>
              </w:rPr>
              <w:t xml:space="preserve">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for satellite operation for Iridium in Hungary. The end-user stations are exempted from the obligation of individual licensing.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Ireland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A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exemption policy is followed, with a </w:t>
            </w:r>
            <w:r w:rsidR="00424101">
              <w:rPr>
                <w:rFonts w:ascii="Verdana" w:eastAsia="Verdana" w:hAnsi="Verdana" w:cs="Verdana"/>
                <w:sz w:val="18"/>
                <w:szCs w:val="18"/>
                <w:lang w:val="en-US"/>
              </w:rPr>
              <w:t>“</w:t>
            </w:r>
            <w:r w:rsidRPr="00BF24FC">
              <w:rPr>
                <w:rFonts w:ascii="Verdana" w:eastAsia="Verdana" w:hAnsi="Verdana" w:cs="Verdana"/>
                <w:sz w:val="18"/>
                <w:szCs w:val="18"/>
                <w:lang w:val="en-US"/>
              </w:rPr>
              <w:t xml:space="preserve">General </w:t>
            </w:r>
            <w:proofErr w:type="spellStart"/>
            <w:r w:rsidRPr="00BF24FC">
              <w:rPr>
                <w:rFonts w:ascii="Verdana" w:eastAsia="Verdana" w:hAnsi="Verdana" w:cs="Verdana"/>
                <w:sz w:val="18"/>
                <w:szCs w:val="18"/>
                <w:lang w:val="en-US"/>
              </w:rPr>
              <w:t>Authorisation</w:t>
            </w:r>
            <w:proofErr w:type="spellEnd"/>
            <w:r w:rsidR="00424101">
              <w:rPr>
                <w:rFonts w:ascii="Verdana" w:eastAsia="Verdana" w:hAnsi="Verdana" w:cs="Verdana"/>
                <w:sz w:val="18"/>
                <w:szCs w:val="18"/>
                <w:lang w:val="en-US"/>
              </w:rPr>
              <w:t>”</w:t>
            </w:r>
            <w:r w:rsidRPr="00BF24FC">
              <w:rPr>
                <w:rFonts w:ascii="Verdana" w:eastAsia="Verdana" w:hAnsi="Verdana" w:cs="Verdana"/>
                <w:sz w:val="18"/>
                <w:szCs w:val="18"/>
                <w:lang w:val="en-US"/>
              </w:rPr>
              <w:t xml:space="preserve"> requirement if a service is being provided in Ireland.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E456D2">
            <w:r>
              <w:rPr>
                <w:rFonts w:ascii="Verdana" w:eastAsia="Verdana" w:hAnsi="Verdana" w:cs="Verdana"/>
                <w:sz w:val="18"/>
                <w:szCs w:val="18"/>
              </w:rPr>
              <w:t>I</w:t>
            </w:r>
            <w:r w:rsidR="00E456D2">
              <w:rPr>
                <w:rFonts w:ascii="Verdana" w:eastAsia="Verdana" w:hAnsi="Verdana" w:cs="Verdana"/>
                <w:sz w:val="18"/>
                <w:szCs w:val="18"/>
              </w:rPr>
              <w:t>taly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General authorisation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Latvia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any licenses issued and no license required.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Lithuania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C5628C">
            <w:pPr>
              <w:rPr>
                <w:lang w:val="en-US"/>
              </w:rPr>
            </w:pPr>
            <w:r w:rsidRPr="00BF24FC">
              <w:rPr>
                <w:rFonts w:ascii="Verdana" w:eastAsia="Verdana" w:hAnsi="Verdana" w:cs="Verdana"/>
                <w:sz w:val="18"/>
                <w:szCs w:val="18"/>
                <w:lang w:val="en-US"/>
              </w:rPr>
              <w:t>No license issued to Iridium. Currently license exemption policy applies for satellite terminals for both uplink and downlink. Only notification is required for the provision of public satellite services or networks.</w:t>
            </w:r>
            <w:r w:rsidR="00C5628C">
              <w:rPr>
                <w:rFonts w:ascii="Verdana" w:eastAsia="Verdana" w:hAnsi="Verdana" w:cs="Verdana"/>
                <w:sz w:val="18"/>
                <w:szCs w:val="18"/>
                <w:lang w:val="en-US"/>
              </w:rPr>
              <w:t xml:space="preserve"> I</w:t>
            </w:r>
            <w:r w:rsidR="00C5628C" w:rsidRPr="00C5628C">
              <w:rPr>
                <w:rFonts w:ascii="Verdana" w:eastAsia="Verdana" w:hAnsi="Verdana" w:cs="Verdana"/>
                <w:sz w:val="18"/>
                <w:szCs w:val="18"/>
                <w:lang w:val="en-US"/>
              </w:rPr>
              <w:t>n Lithuania the satellite terminals may be used in 1610–1660</w:t>
            </w:r>
            <w:r w:rsidR="00C5628C">
              <w:rPr>
                <w:rFonts w:ascii="Verdana" w:eastAsia="Verdana" w:hAnsi="Verdana" w:cs="Verdana"/>
                <w:sz w:val="18"/>
                <w:szCs w:val="18"/>
                <w:lang w:val="en-US"/>
              </w:rPr>
              <w:t>.</w:t>
            </w:r>
            <w:r w:rsidR="00C5628C" w:rsidRPr="00C5628C">
              <w:rPr>
                <w:rFonts w:ascii="Verdana" w:eastAsia="Verdana" w:hAnsi="Verdana" w:cs="Verdana"/>
                <w:sz w:val="18"/>
                <w:szCs w:val="18"/>
                <w:lang w:val="en-US"/>
              </w:rPr>
              <w:t xml:space="preserve">5 MHz frequency band without individual </w:t>
            </w:r>
            <w:proofErr w:type="spellStart"/>
            <w:r w:rsidR="00C5628C" w:rsidRPr="00C5628C">
              <w:rPr>
                <w:rFonts w:ascii="Verdana" w:eastAsia="Verdana" w:hAnsi="Verdana" w:cs="Verdana"/>
                <w:sz w:val="18"/>
                <w:szCs w:val="18"/>
                <w:lang w:val="en-US"/>
              </w:rPr>
              <w:t>authori</w:t>
            </w:r>
            <w:r w:rsidR="00C5628C">
              <w:rPr>
                <w:rFonts w:ascii="Verdana" w:eastAsia="Verdana" w:hAnsi="Verdana" w:cs="Verdana"/>
                <w:sz w:val="18"/>
                <w:szCs w:val="18"/>
                <w:lang w:val="en-US"/>
              </w:rPr>
              <w:t>s</w:t>
            </w:r>
            <w:r w:rsidR="00C5628C" w:rsidRPr="00C5628C">
              <w:rPr>
                <w:rFonts w:ascii="Verdana" w:eastAsia="Verdana" w:hAnsi="Verdana" w:cs="Verdana"/>
                <w:sz w:val="18"/>
                <w:szCs w:val="18"/>
                <w:lang w:val="en-US"/>
              </w:rPr>
              <w:t>ation</w:t>
            </w:r>
            <w:proofErr w:type="spellEnd"/>
            <w:r w:rsidR="00C5628C" w:rsidRPr="00C5628C">
              <w:rPr>
                <w:rFonts w:ascii="Verdana" w:eastAsia="Verdana" w:hAnsi="Verdana" w:cs="Verdana"/>
                <w:sz w:val="18"/>
                <w:szCs w:val="18"/>
                <w:lang w:val="en-US"/>
              </w:rPr>
              <w:t xml:space="preserve"> only if the company providing public satellite communication network and services notifies to our administration about the commencement of its activities. Therefore in case the Iridium plans to provide the services in Lithuania it is necessary to notify commencement of such activities. Till now Lithuania has not received such notification from the Iridium.</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Pr>
                <w:rFonts w:ascii="Verdana" w:eastAsia="Verdana" w:hAnsi="Verdana" w:cs="Verdana"/>
                <w:sz w:val="18"/>
                <w:szCs w:val="18"/>
                <w:lang w:val="en-US"/>
              </w:rPr>
              <w:t>Montenegro</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License exemption (ECC/DEC/(12)01) </w:t>
            </w:r>
          </w:p>
        </w:tc>
      </w:tr>
      <w:tr w:rsidR="006205E3" w:rsidRPr="0042366D"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Netherlands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In the Netherlands there </w:t>
            </w:r>
            <w:proofErr w:type="gramStart"/>
            <w:r w:rsidRPr="00BF24FC">
              <w:rPr>
                <w:rFonts w:ascii="Verdana" w:eastAsia="Verdana" w:hAnsi="Verdana" w:cs="Verdana"/>
                <w:sz w:val="18"/>
                <w:szCs w:val="18"/>
                <w:lang w:val="en-US"/>
              </w:rPr>
              <w:t>exists</w:t>
            </w:r>
            <w:proofErr w:type="gramEnd"/>
            <w:r w:rsidRPr="00BF24FC">
              <w:rPr>
                <w:rFonts w:ascii="Verdana" w:eastAsia="Verdana" w:hAnsi="Verdana" w:cs="Verdana"/>
                <w:sz w:val="18"/>
                <w:szCs w:val="18"/>
                <w:lang w:val="en-US"/>
              </w:rPr>
              <w:t xml:space="preserve"> no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requirement for the space components/satellite(s). In case of a satellite earth station located in the Netherlands, a license is required for the uplink. </w:t>
            </w:r>
            <w:r w:rsidR="00E53D7E" w:rsidRPr="00E53D7E">
              <w:rPr>
                <w:rFonts w:ascii="Verdana" w:eastAsia="Verdana" w:hAnsi="Verdana" w:cs="Verdana"/>
                <w:sz w:val="18"/>
                <w:szCs w:val="18"/>
                <w:lang w:val="en-GB"/>
              </w:rPr>
              <w:t>The terminal equipment is license exempted.</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Norway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exemption </w:t>
            </w:r>
            <w:r w:rsidR="00424101">
              <w:rPr>
                <w:rFonts w:ascii="Verdana" w:eastAsia="Verdana" w:hAnsi="Verdana" w:cs="Verdana"/>
                <w:sz w:val="18"/>
                <w:szCs w:val="18"/>
                <w:lang w:val="en-US"/>
              </w:rPr>
              <w:t>–</w:t>
            </w:r>
            <w:r w:rsidRPr="00BF24FC">
              <w:rPr>
                <w:rFonts w:ascii="Verdana" w:eastAsia="Verdana" w:hAnsi="Verdana" w:cs="Verdana"/>
                <w:sz w:val="18"/>
                <w:szCs w:val="18"/>
                <w:lang w:val="en-US"/>
              </w:rPr>
              <w:t xml:space="preserve"> General authorisations regulations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lang w:val="en-US"/>
              </w:rPr>
              <w:t>Poland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Iridium earth stations can be used without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as Class 1 equipment in the framework of the R&amp;TTE Directive (sub-class 14)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Portugal</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C5628C">
            <w:pPr>
              <w:rPr>
                <w:lang w:val="en-US"/>
              </w:rPr>
            </w:pPr>
            <w:r w:rsidRPr="00BF24FC">
              <w:rPr>
                <w:rFonts w:ascii="Verdana" w:eastAsia="Verdana" w:hAnsi="Verdana" w:cs="Verdana"/>
                <w:sz w:val="18"/>
                <w:szCs w:val="18"/>
                <w:lang w:val="en-US"/>
              </w:rPr>
              <w:t xml:space="preserve">For satellite operations, the provision of service (for Iridium in this case) is subject to the general </w:t>
            </w:r>
            <w:proofErr w:type="spellStart"/>
            <w:r w:rsidR="00C5628C">
              <w:rPr>
                <w:rFonts w:ascii="Verdana" w:eastAsia="Verdana" w:hAnsi="Verdana" w:cs="Verdana"/>
                <w:sz w:val="18"/>
                <w:szCs w:val="18"/>
                <w:lang w:val="en-US"/>
              </w:rPr>
              <w:t>a</w:t>
            </w:r>
            <w:r w:rsidR="00424101">
              <w:rPr>
                <w:rFonts w:ascii="Verdana" w:eastAsia="Verdana" w:hAnsi="Verdana" w:cs="Verdana"/>
                <w:sz w:val="18"/>
                <w:szCs w:val="18"/>
                <w:lang w:val="en-US"/>
              </w:rPr>
              <w:t>uthori</w:t>
            </w:r>
            <w:r w:rsidR="00C5628C">
              <w:rPr>
                <w:rFonts w:ascii="Verdana" w:eastAsia="Verdana" w:hAnsi="Verdana" w:cs="Verdana"/>
                <w:sz w:val="18"/>
                <w:szCs w:val="18"/>
                <w:lang w:val="en-US"/>
              </w:rPr>
              <w:t>s</w:t>
            </w:r>
            <w:r w:rsidR="00424101">
              <w:rPr>
                <w:rFonts w:ascii="Verdana" w:eastAsia="Verdana" w:hAnsi="Verdana" w:cs="Verdana"/>
                <w:sz w:val="18"/>
                <w:szCs w:val="18"/>
                <w:lang w:val="en-US"/>
              </w:rPr>
              <w:t>ation</w:t>
            </w:r>
            <w:proofErr w:type="spellEnd"/>
            <w:r w:rsidRPr="00BF24FC">
              <w:rPr>
                <w:rFonts w:ascii="Verdana" w:eastAsia="Verdana" w:hAnsi="Verdana" w:cs="Verdana"/>
                <w:sz w:val="18"/>
                <w:szCs w:val="18"/>
                <w:lang w:val="en-US"/>
              </w:rPr>
              <w:t xml:space="preserve"> regime. Portugal follows a license exemption policy for satellite operations (i.e. terminals).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Romania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Network License for the provision of Satellite Personal Communications Services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Russian Federation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E708E3">
            <w:pPr>
              <w:rPr>
                <w:lang w:val="en-US"/>
              </w:rPr>
            </w:pPr>
            <w:r w:rsidRPr="00BF24FC">
              <w:rPr>
                <w:rFonts w:ascii="Verdana" w:eastAsia="Verdana" w:hAnsi="Verdana" w:cs="Verdana"/>
                <w:sz w:val="18"/>
                <w:szCs w:val="18"/>
                <w:lang w:val="en-US"/>
              </w:rPr>
              <w:t xml:space="preserve">The 1621.35-1626.5 MHz band is designated by GRFC Decision for operation of Iridium user terminals (Earth-space, space-Earth) on license exemption basis. </w:t>
            </w:r>
            <w:r w:rsidRPr="00BF24FC">
              <w:rPr>
                <w:rFonts w:ascii="Verdana" w:eastAsia="Verdana" w:hAnsi="Verdana" w:cs="Verdana"/>
                <w:sz w:val="18"/>
                <w:szCs w:val="18"/>
                <w:lang w:val="en-US"/>
              </w:rPr>
              <w:br/>
              <w:t xml:space="preserve">In general, the Russian administration </w:t>
            </w:r>
            <w:proofErr w:type="spellStart"/>
            <w:r w:rsidR="00C5628C">
              <w:rPr>
                <w:rFonts w:ascii="Verdana" w:eastAsia="Verdana" w:hAnsi="Verdana" w:cs="Verdana"/>
                <w:sz w:val="18"/>
                <w:szCs w:val="18"/>
                <w:lang w:val="en-US"/>
              </w:rPr>
              <w:t>a</w:t>
            </w:r>
            <w:r w:rsidR="00424101">
              <w:rPr>
                <w:rFonts w:ascii="Verdana" w:eastAsia="Verdana" w:hAnsi="Verdana" w:cs="Verdana"/>
                <w:sz w:val="18"/>
                <w:szCs w:val="18"/>
                <w:lang w:val="en-US"/>
              </w:rPr>
              <w:t>uthori</w:t>
            </w:r>
            <w:r w:rsidR="00C5628C">
              <w:rPr>
                <w:rFonts w:ascii="Verdana" w:eastAsia="Verdana" w:hAnsi="Verdana" w:cs="Verdana"/>
                <w:sz w:val="18"/>
                <w:szCs w:val="18"/>
                <w:lang w:val="en-US"/>
              </w:rPr>
              <w:t>ses</w:t>
            </w:r>
            <w:proofErr w:type="spellEnd"/>
            <w:r w:rsidRPr="00BF24FC">
              <w:rPr>
                <w:rFonts w:ascii="Verdana" w:eastAsia="Verdana" w:hAnsi="Verdana" w:cs="Verdana"/>
                <w:sz w:val="18"/>
                <w:szCs w:val="18"/>
                <w:lang w:val="en-US"/>
              </w:rPr>
              <w:t xml:space="preserve"> operation of MSS ES subject to coordination between Russian satellite network and foreign satellite network according to the procedures of the ITU Radio Regulation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6205E3">
            <w:r>
              <w:rPr>
                <w:rFonts w:ascii="Verdana" w:eastAsia="Verdana" w:hAnsi="Verdana" w:cs="Verdana"/>
                <w:sz w:val="18"/>
                <w:szCs w:val="18"/>
              </w:rPr>
              <w:t xml:space="preserve">Serbia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Satellite operation in the mobile satellite service (MSS) within the bands 1610-1626.5 MHz and 2483.5-2500 MHz is subject to the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regime (individual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is required).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Slovakia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E708E3">
            <w:r w:rsidRPr="00BF24FC">
              <w:rPr>
                <w:rFonts w:ascii="Verdana" w:eastAsia="Verdana" w:hAnsi="Verdana" w:cs="Verdana"/>
                <w:sz w:val="18"/>
                <w:szCs w:val="18"/>
                <w:lang w:val="en-US"/>
              </w:rPr>
              <w:t xml:space="preserve">We have a General </w:t>
            </w:r>
            <w:proofErr w:type="spellStart"/>
            <w:r w:rsidR="00E708E3">
              <w:rPr>
                <w:rFonts w:ascii="Verdana" w:eastAsia="Verdana" w:hAnsi="Verdana" w:cs="Verdana"/>
                <w:sz w:val="18"/>
                <w:szCs w:val="18"/>
                <w:lang w:val="en-US"/>
              </w:rPr>
              <w:t>a</w:t>
            </w:r>
            <w:r w:rsidR="00424101">
              <w:rPr>
                <w:rFonts w:ascii="Verdana" w:eastAsia="Verdana" w:hAnsi="Verdana" w:cs="Verdana"/>
                <w:sz w:val="18"/>
                <w:szCs w:val="18"/>
                <w:lang w:val="en-US"/>
              </w:rPr>
              <w:t>uthori</w:t>
            </w:r>
            <w:r w:rsidR="00C5628C">
              <w:rPr>
                <w:rFonts w:ascii="Verdana" w:eastAsia="Verdana" w:hAnsi="Verdana" w:cs="Verdana"/>
                <w:sz w:val="18"/>
                <w:szCs w:val="18"/>
                <w:lang w:val="en-US"/>
              </w:rPr>
              <w:t>s</w:t>
            </w:r>
            <w:r w:rsidR="00424101">
              <w:rPr>
                <w:rFonts w:ascii="Verdana" w:eastAsia="Verdana" w:hAnsi="Verdana" w:cs="Verdana"/>
                <w:sz w:val="18"/>
                <w:szCs w:val="18"/>
                <w:lang w:val="en-US"/>
              </w:rPr>
              <w:t>ation</w:t>
            </w:r>
            <w:proofErr w:type="spellEnd"/>
            <w:r w:rsidRPr="00BF24FC">
              <w:rPr>
                <w:rFonts w:ascii="Verdana" w:eastAsia="Verdana" w:hAnsi="Verdana" w:cs="Verdana"/>
                <w:sz w:val="18"/>
                <w:szCs w:val="18"/>
                <w:lang w:val="en-US"/>
              </w:rPr>
              <w:t xml:space="preserve"> No. VPR 03/2014 for operation of radio equipment´s of Satellite Service in bands 1-3 GHz (including Iridium terminals). </w:t>
            </w:r>
            <w:r>
              <w:rPr>
                <w:rFonts w:ascii="Verdana" w:eastAsia="Verdana" w:hAnsi="Verdana" w:cs="Verdana"/>
                <w:sz w:val="18"/>
                <w:szCs w:val="18"/>
              </w:rPr>
              <w:t xml:space="preserve">No individual license is issued.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Slovenia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proofErr w:type="spellStart"/>
            <w:r w:rsidRPr="00BF24FC">
              <w:rPr>
                <w:rFonts w:ascii="Verdana" w:eastAsia="Verdana" w:hAnsi="Verdana" w:cs="Verdana"/>
                <w:sz w:val="18"/>
                <w:szCs w:val="18"/>
                <w:lang w:val="en-US"/>
              </w:rPr>
              <w:t>Licences</w:t>
            </w:r>
            <w:proofErr w:type="spellEnd"/>
            <w:r w:rsidRPr="00BF24FC">
              <w:rPr>
                <w:rFonts w:ascii="Verdana" w:eastAsia="Verdana" w:hAnsi="Verdana" w:cs="Verdana"/>
                <w:sz w:val="18"/>
                <w:szCs w:val="18"/>
                <w:lang w:val="en-US"/>
              </w:rPr>
              <w:t xml:space="preserve"> should be issued only for hubs (earth stations) on request.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Spain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Yes the administration of Spain has issued licenses for Iridium satellite operations </w:t>
            </w:r>
          </w:p>
        </w:tc>
      </w:tr>
      <w:tr w:rsidR="00424101"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101" w:rsidRDefault="00424101">
            <w:pPr>
              <w:rPr>
                <w:rFonts w:ascii="Verdana" w:eastAsia="Verdana" w:hAnsi="Verdana" w:cs="Verdana"/>
                <w:sz w:val="18"/>
                <w:szCs w:val="18"/>
              </w:rPr>
            </w:pPr>
            <w:r>
              <w:rPr>
                <w:rFonts w:ascii="Verdana" w:eastAsia="Verdana" w:hAnsi="Verdana" w:cs="Verdana"/>
                <w:sz w:val="18"/>
                <w:szCs w:val="18"/>
              </w:rPr>
              <w:t>Sweden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101" w:rsidRPr="00424101"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t xml:space="preserve">Regarding downlinks: In Sweden satellite downlinks are only treated within the framework of ITU-R provisions, i.e. downlink reception is not nationally regulated. </w:t>
            </w:r>
          </w:p>
          <w:p w:rsidR="00424101" w:rsidRPr="00424101" w:rsidRDefault="00424101" w:rsidP="00424101">
            <w:pPr>
              <w:rPr>
                <w:rFonts w:ascii="Verdana" w:eastAsia="Verdana" w:hAnsi="Verdana" w:cs="Verdana"/>
                <w:sz w:val="18"/>
                <w:szCs w:val="18"/>
                <w:lang w:val="en-US"/>
              </w:rPr>
            </w:pPr>
          </w:p>
          <w:p w:rsidR="00424101" w:rsidRPr="00BF24FC"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t>Regarding uplinks: In Sweden satellite terminals, that operate downlink within 1613,8-1626,5 MHz (e.g. Iridium), are exempted from license requirement, subject to given set of conditions (see answer to question nr 4).</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Switzerland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 Iridium is registered by BAKOM/OFCOM in Switzerland as telecommunications service provider (TSP) for the provision of mobile satellite services (MSS) since 1998. </w:t>
            </w:r>
            <w:r w:rsidRPr="00BF24FC">
              <w:rPr>
                <w:rFonts w:ascii="Verdana" w:eastAsia="Verdana" w:hAnsi="Verdana" w:cs="Verdana"/>
                <w:sz w:val="18"/>
                <w:szCs w:val="18"/>
                <w:lang w:val="en-US"/>
              </w:rPr>
              <w:br/>
            </w:r>
            <w:r w:rsidRPr="00BF24FC">
              <w:rPr>
                <w:rFonts w:ascii="Verdana" w:eastAsia="Verdana" w:hAnsi="Verdana" w:cs="Verdana"/>
                <w:sz w:val="18"/>
                <w:szCs w:val="18"/>
                <w:lang w:val="en-US"/>
              </w:rPr>
              <w:br/>
              <w:t xml:space="preserve">- BAKOM/OFCOM has granted a radio communications license to Iridium for the use of frequency spectrum for the operation of the Iridium satellite network in Switzerland (uplink and downlink) since 1998. </w:t>
            </w:r>
          </w:p>
        </w:tc>
      </w:tr>
      <w:tr w:rsidR="00250420"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Default="00250420">
            <w:pPr>
              <w:rPr>
                <w:rFonts w:ascii="Verdana" w:eastAsia="Verdana" w:hAnsi="Verdana" w:cs="Verdana"/>
                <w:sz w:val="18"/>
                <w:szCs w:val="18"/>
              </w:rPr>
            </w:pPr>
            <w:r>
              <w:rPr>
                <w:rFonts w:ascii="Verdana" w:eastAsia="Verdana" w:hAnsi="Verdana" w:cs="Verdana"/>
                <w:sz w:val="18"/>
                <w:szCs w:val="18"/>
              </w:rPr>
              <w:t>Turkey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Pursuant to our relevant primary legislation, the Electronic Communications Law no. 5809 dated 11/5/2008, electronic communications services are subject to obtaining an authorization from our Authority, Information and Communication Technologies Authority (ICTA), the regulatory body for electronic communications sector in Turkey, as stated in the following provision:</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“ARTICLE 8 – (1) Electronic communications services could be provided and/or            electronic communications network or infrastructure could be constructed and       operated by taking into consideration the strategies and policies of the Ministry, upon receiving authorization from the Authority.”</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Taking into account the above mentioned provisions, satellite operations in Turkey (Either GMPCS or Satellite Communication Service) are considered as an electronic communications service subject to an authorization.</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 xml:space="preserve">Our authorization regime and the relevant principles and procedures are defined in detail in the “By-Law on Authorization for Electronic Communications Sector” dated 5/28/2009 prepared in accordance with the Electronic Communications Law. In addition, relevant provisions regarding specific services (such as satellite communication service, GMPCS mobile telephony service, </w:t>
            </w:r>
            <w:proofErr w:type="spellStart"/>
            <w:r w:rsidRPr="00250420">
              <w:rPr>
                <w:rFonts w:ascii="Verdana" w:eastAsia="Verdana" w:hAnsi="Verdana" w:cs="Verdana"/>
                <w:sz w:val="18"/>
                <w:szCs w:val="18"/>
                <w:lang w:val="en-US"/>
              </w:rPr>
              <w:t>etc</w:t>
            </w:r>
            <w:proofErr w:type="spellEnd"/>
            <w:r w:rsidRPr="00250420">
              <w:rPr>
                <w:rFonts w:ascii="Verdana" w:eastAsia="Verdana" w:hAnsi="Verdana" w:cs="Verdana"/>
                <w:sz w:val="18"/>
                <w:szCs w:val="18"/>
                <w:lang w:val="en-US"/>
              </w:rPr>
              <w:t>) were determined in the ICTA Board’s Decision dated 5/28/2009 under the name of “Definition, Scope and Periods of Electronic Communication Services, Networks and Infrastructure”.</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In accordance with the above mentioned By-Law and Board’s Decision,</w:t>
            </w: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 xml:space="preserve"> “GMPCS Mobile Phone Service”. Article 1.7 of “Section For Services Under The Scope Of Notification Not Requiring Resource Allocation” of the regulation of “Definition, Scope and Periods of Electronic Communication Services, Networks and Infrastructure” defines GMPCS Mobile Phone Service as follows:</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“GMPCS Mobile Phone Service, covers providing direct voice, data, fax and similar services besides providing of services estimated under the framework of GMPCS-MoU for users/subscribers over a satellite group which its position and operating frequencies are determined or supplied by ITU, fixed or mobile, wide or narrow band, global or non-global, immobile or mobile, current or planned.”</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In case it is necessary to allocate resources for GMPCS Mobile Phone Service provided under notification, in addition to provisions set out under the Section For Services Under The Scope Of Notification Not Requiring Resource Allocation, the following provisions are defined in Article 2.1 of “Section For Services Under The Scope Of Unlimited Number Of Rights Of Use” regulation of Definition, Scope and Periods of Electronic Communication Services, Networks and Infrastructure as follows:</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“1. Number allocation is performed for the Operator under National Designation         Plan.</w:t>
            </w: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2. Operator under the scope of GMPCS service may provide value added services for    end users by utilizing satellite group and obeying regulation of the Authority relevant to designation and number portability.“</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Additionally, Satellite Communication Service is defined in Article 1.1 of aforementioned regulation as follows:</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 xml:space="preserve">“Satellite Communication Service covers providing simplex or duplex voice, data, video communication services to its subscribers/users excluding telephone services between geographically apart points via electromagnetic waves through satellites and satellite ground stations and/or satellite terminals and installation and operation of relevant infrastructure.”  </w:t>
            </w:r>
          </w:p>
          <w:p w:rsidR="00250420" w:rsidRPr="00250420" w:rsidRDefault="00250420" w:rsidP="00250420">
            <w:pPr>
              <w:rPr>
                <w:rFonts w:ascii="Verdana" w:eastAsia="Verdana" w:hAnsi="Verdana" w:cs="Verdana"/>
                <w:sz w:val="18"/>
                <w:szCs w:val="18"/>
                <w:lang w:val="en-US"/>
              </w:rPr>
            </w:pP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 xml:space="preserve">In brief, we don’t authorize Iridium or other satellite systems. On the other hand, companies providing electronic communications services via those satellite systems </w:t>
            </w:r>
            <w:r w:rsidRPr="00250420">
              <w:rPr>
                <w:rFonts w:ascii="Verdana" w:eastAsia="Verdana" w:hAnsi="Verdana" w:cs="Verdana"/>
                <w:sz w:val="18"/>
                <w:szCs w:val="18"/>
                <w:lang w:val="en-US"/>
              </w:rPr>
              <w:lastRenderedPageBreak/>
              <w:t xml:space="preserve">need to be authorized. </w:t>
            </w:r>
          </w:p>
          <w:p w:rsidR="00250420" w:rsidRPr="00250420"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 xml:space="preserve">       </w:t>
            </w:r>
          </w:p>
          <w:p w:rsidR="00250420" w:rsidRPr="00BF24FC" w:rsidRDefault="00250420" w:rsidP="00250420">
            <w:pPr>
              <w:rPr>
                <w:rFonts w:ascii="Verdana" w:eastAsia="Verdana" w:hAnsi="Verdana" w:cs="Verdana"/>
                <w:sz w:val="18"/>
                <w:szCs w:val="18"/>
                <w:lang w:val="en-US"/>
              </w:rPr>
            </w:pPr>
            <w:r w:rsidRPr="00250420">
              <w:rPr>
                <w:rFonts w:ascii="Verdana" w:eastAsia="Verdana" w:hAnsi="Verdana" w:cs="Verdana"/>
                <w:sz w:val="18"/>
                <w:szCs w:val="18"/>
                <w:lang w:val="en-US"/>
              </w:rPr>
              <w:t>On the other hand, pursuant to Article 19-1-n of By Law, an operator has right to supply satellite capacity requirements for service provision freely from relevant institutions (</w:t>
            </w:r>
            <w:proofErr w:type="spellStart"/>
            <w:r w:rsidRPr="00250420">
              <w:rPr>
                <w:rFonts w:ascii="Verdana" w:eastAsia="Verdana" w:hAnsi="Verdana" w:cs="Verdana"/>
                <w:sz w:val="18"/>
                <w:szCs w:val="18"/>
                <w:lang w:val="en-US"/>
              </w:rPr>
              <w:t>i.e</w:t>
            </w:r>
            <w:proofErr w:type="spellEnd"/>
            <w:r w:rsidRPr="00250420">
              <w:rPr>
                <w:rFonts w:ascii="Verdana" w:eastAsia="Verdana" w:hAnsi="Verdana" w:cs="Verdana"/>
                <w:sz w:val="18"/>
                <w:szCs w:val="18"/>
                <w:lang w:val="en-US"/>
              </w:rPr>
              <w:t xml:space="preserve"> Iridium, </w:t>
            </w:r>
            <w:proofErr w:type="spellStart"/>
            <w:r w:rsidRPr="00250420">
              <w:rPr>
                <w:rFonts w:ascii="Verdana" w:eastAsia="Verdana" w:hAnsi="Verdana" w:cs="Verdana"/>
                <w:sz w:val="18"/>
                <w:szCs w:val="18"/>
                <w:lang w:val="en-US"/>
              </w:rPr>
              <w:t>etc</w:t>
            </w:r>
            <w:proofErr w:type="spellEnd"/>
            <w:r w:rsidRPr="00250420">
              <w:rPr>
                <w:rFonts w:ascii="Verdana" w:eastAsia="Verdana" w:hAnsi="Verdana" w:cs="Verdana"/>
                <w:sz w:val="18"/>
                <w:szCs w:val="18"/>
                <w:lang w:val="en-US"/>
              </w:rPr>
              <w:t>)</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Ukraine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In accordance with the law of Ukraine «On radio frequency resource of Ukraine» and the Plan for the Use of the Radio Frequency Resource of Ukraine, </w:t>
            </w:r>
            <w:proofErr w:type="spellStart"/>
            <w:r w:rsidRPr="00BF24FC">
              <w:rPr>
                <w:rFonts w:ascii="Verdana" w:eastAsia="Verdana" w:hAnsi="Verdana" w:cs="Verdana"/>
                <w:sz w:val="18"/>
                <w:szCs w:val="18"/>
                <w:lang w:val="en-US"/>
              </w:rPr>
              <w:t>Irridium</w:t>
            </w:r>
            <w:proofErr w:type="spellEnd"/>
            <w:r w:rsidRPr="00BF24FC">
              <w:rPr>
                <w:rFonts w:ascii="Verdana" w:eastAsia="Verdana" w:hAnsi="Verdana" w:cs="Verdana"/>
                <w:sz w:val="18"/>
                <w:szCs w:val="18"/>
                <w:lang w:val="en-US"/>
              </w:rPr>
              <w:t xml:space="preserve"> satellite operations need licensing. License exemption policy for the </w:t>
            </w:r>
            <w:proofErr w:type="spellStart"/>
            <w:r w:rsidRPr="00BF24FC">
              <w:rPr>
                <w:rFonts w:ascii="Verdana" w:eastAsia="Verdana" w:hAnsi="Verdana" w:cs="Verdana"/>
                <w:sz w:val="18"/>
                <w:szCs w:val="18"/>
                <w:lang w:val="en-US"/>
              </w:rPr>
              <w:t>Irridium</w:t>
            </w:r>
            <w:proofErr w:type="spellEnd"/>
            <w:r w:rsidRPr="00BF24FC">
              <w:rPr>
                <w:rFonts w:ascii="Verdana" w:eastAsia="Verdana" w:hAnsi="Verdana" w:cs="Verdana"/>
                <w:sz w:val="18"/>
                <w:szCs w:val="18"/>
                <w:lang w:val="en-US"/>
              </w:rPr>
              <w:t xml:space="preserve"> operation band is currently not applicable in Ukraine.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United Kingdom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Licence Exemption </w:t>
            </w:r>
          </w:p>
        </w:tc>
      </w:tr>
    </w:tbl>
    <w:p w:rsidR="007001A7" w:rsidRDefault="007001A7">
      <w:pPr>
        <w:pStyle w:val="Questionarie-instance"/>
        <w:keepLines/>
        <w:rPr>
          <w:rFonts w:ascii="Verdana" w:eastAsia="Verdana" w:hAnsi="Verdana" w:cs="Verdana"/>
          <w:b/>
          <w:bCs/>
          <w:sz w:val="18"/>
          <w:szCs w:val="18"/>
          <w:lang w:val="en-US"/>
        </w:rPr>
      </w:pPr>
    </w:p>
    <w:p w:rsidR="009450D3" w:rsidRDefault="009450D3">
      <w:pPr>
        <w:rPr>
          <w:rFonts w:ascii="Verdana" w:eastAsia="Verdana" w:hAnsi="Verdana" w:cs="Verdana"/>
          <w:b/>
          <w:bCs/>
          <w:sz w:val="18"/>
          <w:szCs w:val="18"/>
          <w:lang w:val="en-US"/>
        </w:rPr>
      </w:pPr>
    </w:p>
    <w:p w:rsidR="0001038F" w:rsidRPr="004C7679" w:rsidRDefault="00FD6D0C">
      <w:pPr>
        <w:pStyle w:val="Questionarie-instance"/>
        <w:keepLines/>
        <w:rPr>
          <w:rStyle w:val="Questionarie-instanceQuestion-text"/>
          <w:rFonts w:ascii="Verdana" w:eastAsia="Verdana" w:hAnsi="Verdana" w:cs="Verdana"/>
          <w:sz w:val="22"/>
          <w:szCs w:val="22"/>
          <w:lang w:val="en-US"/>
        </w:rPr>
      </w:pPr>
      <w:r w:rsidRPr="004C7679">
        <w:rPr>
          <w:rFonts w:ascii="Verdana" w:eastAsia="Verdana" w:hAnsi="Verdana" w:cs="Verdana"/>
          <w:b/>
          <w:bCs/>
          <w:sz w:val="22"/>
          <w:szCs w:val="22"/>
          <w:lang w:val="en-US"/>
        </w:rPr>
        <w:t xml:space="preserve">Question 2: </w:t>
      </w:r>
      <w:r w:rsidRPr="004C7679">
        <w:rPr>
          <w:rStyle w:val="Questionarie-instanceQuestion-text"/>
          <w:rFonts w:ascii="Verdana" w:eastAsia="Verdana" w:hAnsi="Verdana" w:cs="Verdana"/>
          <w:sz w:val="22"/>
          <w:szCs w:val="22"/>
          <w:lang w:val="en-US"/>
        </w:rPr>
        <w:t xml:space="preserve">What is the allowed operation bandwidth for the Iridium satellites in your current license (for uplink, for downlink)? </w:t>
      </w:r>
    </w:p>
    <w:p w:rsidR="00897580" w:rsidRDefault="00897580">
      <w:pPr>
        <w:pStyle w:val="Questionarie-instance"/>
        <w:keepLines/>
        <w:rPr>
          <w:rStyle w:val="Questionarie-instanceQuestion-text"/>
          <w:rFonts w:ascii="Verdana" w:eastAsia="Verdana" w:hAnsi="Verdana" w:cs="Verdana"/>
          <w:sz w:val="18"/>
          <w:szCs w:val="18"/>
          <w:lang w:val="en-US"/>
        </w:rPr>
      </w:pPr>
    </w:p>
    <w:p w:rsidR="00897580" w:rsidRPr="004C7679" w:rsidRDefault="00897580">
      <w:pPr>
        <w:pStyle w:val="Questionarie-instance"/>
        <w:keepLines/>
        <w:rPr>
          <w:rStyle w:val="Questionarie-instanceQuestion-text"/>
          <w:rFonts w:ascii="Verdana" w:eastAsia="Verdana" w:hAnsi="Verdana" w:cs="Verdana"/>
          <w:sz w:val="22"/>
          <w:szCs w:val="22"/>
          <w:lang w:val="en-US"/>
        </w:rPr>
      </w:pPr>
      <w:r w:rsidRPr="004C7679">
        <w:rPr>
          <w:rStyle w:val="Questionarie-instanceQuestion-text"/>
          <w:rFonts w:ascii="Verdana" w:eastAsia="Verdana" w:hAnsi="Verdana" w:cs="Verdana"/>
          <w:sz w:val="22"/>
          <w:szCs w:val="22"/>
          <w:lang w:val="en-US"/>
        </w:rPr>
        <w:t>Summary Table:</w:t>
      </w:r>
    </w:p>
    <w:p w:rsidR="00627BDF" w:rsidRDefault="007F0548">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The following table summarizes the allowed operation bandwidth in countries that already authorized Iridium’s operations</w:t>
      </w:r>
    </w:p>
    <w:tbl>
      <w:tblPr>
        <w:tblStyle w:val="TableGrid"/>
        <w:tblW w:w="0" w:type="auto"/>
        <w:tblLook w:val="04A0" w:firstRow="1" w:lastRow="0" w:firstColumn="1" w:lastColumn="0" w:noHBand="0" w:noVBand="1"/>
      </w:tblPr>
      <w:tblGrid>
        <w:gridCol w:w="5056"/>
        <w:gridCol w:w="5056"/>
      </w:tblGrid>
      <w:tr w:rsidR="00627BDF" w:rsidRPr="00FA7622" w:rsidTr="00627BDF">
        <w:tc>
          <w:tcPr>
            <w:tcW w:w="5056" w:type="dxa"/>
          </w:tcPr>
          <w:p w:rsidR="00627BDF" w:rsidRDefault="00627BDF">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sidRPr="00627BDF">
              <w:rPr>
                <w:rStyle w:val="Questionarie-instanceQuestion-text"/>
                <w:rFonts w:ascii="Verdana" w:eastAsia="Verdana" w:hAnsi="Verdana" w:cs="Verdana"/>
                <w:sz w:val="18"/>
                <w:szCs w:val="18"/>
                <w:lang w:val="en-US"/>
              </w:rPr>
              <w:t>1610,0-1626,5 MHz (uplink), 1613,8-1626,5 MHz (downlink)</w:t>
            </w:r>
          </w:p>
        </w:tc>
        <w:tc>
          <w:tcPr>
            <w:tcW w:w="5056" w:type="dxa"/>
          </w:tcPr>
          <w:p w:rsidR="00627BDF" w:rsidRDefault="00627BDF" w:rsidP="0063334D">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 xml:space="preserve">Austria, Belgium, </w:t>
            </w:r>
            <w:r w:rsidR="0063334D">
              <w:rPr>
                <w:rStyle w:val="Questionarie-instanceQuestion-text"/>
                <w:rFonts w:ascii="Verdana" w:eastAsia="Verdana" w:hAnsi="Verdana" w:cs="Verdana"/>
                <w:sz w:val="18"/>
                <w:szCs w:val="18"/>
                <w:lang w:val="en-US"/>
              </w:rPr>
              <w:t xml:space="preserve">Bulgaria, </w:t>
            </w:r>
            <w:r w:rsidR="00A51A2D">
              <w:rPr>
                <w:rStyle w:val="Questionarie-instanceQuestion-text"/>
                <w:rFonts w:ascii="Verdana" w:eastAsia="Verdana" w:hAnsi="Verdana" w:cs="Verdana"/>
                <w:sz w:val="18"/>
                <w:szCs w:val="18"/>
                <w:lang w:val="en-US"/>
              </w:rPr>
              <w:t xml:space="preserve">Croatia, </w:t>
            </w:r>
            <w:r>
              <w:rPr>
                <w:rStyle w:val="Questionarie-instanceQuestion-text"/>
                <w:rFonts w:ascii="Verdana" w:eastAsia="Verdana" w:hAnsi="Verdana" w:cs="Verdana"/>
                <w:sz w:val="18"/>
                <w:szCs w:val="18"/>
                <w:lang w:val="en-US"/>
              </w:rPr>
              <w:t xml:space="preserve">Czech Republic, Denmark, Estonia, </w:t>
            </w:r>
            <w:r w:rsidR="00B66957">
              <w:rPr>
                <w:rStyle w:val="Questionarie-instanceQuestion-text"/>
                <w:rFonts w:ascii="Verdana" w:eastAsia="Verdana" w:hAnsi="Verdana" w:cs="Verdana"/>
                <w:sz w:val="18"/>
                <w:szCs w:val="18"/>
                <w:lang w:val="en-US"/>
              </w:rPr>
              <w:t xml:space="preserve">Finland, </w:t>
            </w:r>
            <w:r>
              <w:rPr>
                <w:rStyle w:val="Questionarie-instanceQuestion-text"/>
                <w:rFonts w:ascii="Verdana" w:eastAsia="Verdana" w:hAnsi="Verdana" w:cs="Verdana"/>
                <w:sz w:val="18"/>
                <w:szCs w:val="18"/>
                <w:lang w:val="en-US"/>
              </w:rPr>
              <w:t xml:space="preserve">Greece, </w:t>
            </w:r>
            <w:r w:rsidR="00B66957">
              <w:rPr>
                <w:rStyle w:val="Questionarie-instanceQuestion-text"/>
                <w:rFonts w:ascii="Verdana" w:eastAsia="Verdana" w:hAnsi="Verdana" w:cs="Verdana"/>
                <w:sz w:val="18"/>
                <w:szCs w:val="18"/>
                <w:lang w:val="en-US"/>
              </w:rPr>
              <w:t xml:space="preserve">Ireland, Latvia, Montenegro, </w:t>
            </w:r>
            <w:r w:rsidR="00B66957" w:rsidRPr="00B66957">
              <w:rPr>
                <w:rStyle w:val="Questionarie-instanceQuestion-text"/>
                <w:rFonts w:ascii="Verdana" w:eastAsia="Verdana" w:hAnsi="Verdana" w:cs="Verdana"/>
                <w:sz w:val="18"/>
                <w:szCs w:val="18"/>
                <w:lang w:val="en-US"/>
              </w:rPr>
              <w:t>Netherlands</w:t>
            </w:r>
            <w:r w:rsidR="00B66957">
              <w:rPr>
                <w:rStyle w:val="Questionarie-instanceQuestion-text"/>
                <w:rFonts w:ascii="Verdana" w:eastAsia="Verdana" w:hAnsi="Verdana" w:cs="Verdana"/>
                <w:sz w:val="18"/>
                <w:szCs w:val="18"/>
                <w:lang w:val="en-US"/>
              </w:rPr>
              <w:t xml:space="preserve">, Norway, Poland, </w:t>
            </w:r>
            <w:r w:rsidR="00897580">
              <w:rPr>
                <w:rStyle w:val="Questionarie-instanceQuestion-text"/>
                <w:rFonts w:ascii="Verdana" w:eastAsia="Verdana" w:hAnsi="Verdana" w:cs="Verdana"/>
                <w:sz w:val="18"/>
                <w:szCs w:val="18"/>
                <w:lang w:val="en-US"/>
              </w:rPr>
              <w:t>Slovakia, Slovenia</w:t>
            </w:r>
            <w:r w:rsidR="0063334D">
              <w:rPr>
                <w:rStyle w:val="Questionarie-instanceQuestion-text"/>
                <w:rFonts w:ascii="Verdana" w:eastAsia="Verdana" w:hAnsi="Verdana" w:cs="Verdana"/>
                <w:sz w:val="18"/>
                <w:szCs w:val="18"/>
                <w:lang w:val="en-US"/>
              </w:rPr>
              <w:t>.</w:t>
            </w:r>
            <w:r w:rsidR="00897580">
              <w:rPr>
                <w:rStyle w:val="Questionarie-instanceQuestion-text"/>
                <w:rFonts w:ascii="Verdana" w:eastAsia="Verdana" w:hAnsi="Verdana" w:cs="Verdana"/>
                <w:sz w:val="18"/>
                <w:szCs w:val="18"/>
                <w:lang w:val="en-US"/>
              </w:rPr>
              <w:t xml:space="preserve"> </w:t>
            </w:r>
          </w:p>
        </w:tc>
      </w:tr>
      <w:tr w:rsidR="007F0548" w:rsidRPr="0063334D" w:rsidTr="008077D5">
        <w:tc>
          <w:tcPr>
            <w:tcW w:w="5056" w:type="dxa"/>
          </w:tcPr>
          <w:p w:rsidR="007F0548" w:rsidRPr="00B66957" w:rsidRDefault="007F0548" w:rsidP="008077D5">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sidRPr="00424101">
              <w:rPr>
                <w:rStyle w:val="Questionarie-instanceQuestion-text"/>
                <w:rFonts w:ascii="Verdana" w:eastAsia="Verdana" w:hAnsi="Verdana" w:cs="Verdana"/>
                <w:sz w:val="18"/>
                <w:szCs w:val="18"/>
                <w:lang w:val="en-US"/>
              </w:rPr>
              <w:t>1621</w:t>
            </w:r>
            <w:r>
              <w:rPr>
                <w:rStyle w:val="Questionarie-instanceQuestion-text"/>
                <w:rFonts w:ascii="Verdana" w:eastAsia="Verdana" w:hAnsi="Verdana" w:cs="Verdana"/>
                <w:sz w:val="18"/>
                <w:szCs w:val="18"/>
                <w:lang w:val="en-US"/>
              </w:rPr>
              <w:t>.</w:t>
            </w:r>
            <w:r w:rsidRPr="00424101">
              <w:rPr>
                <w:rStyle w:val="Questionarie-instanceQuestion-text"/>
                <w:rFonts w:ascii="Verdana" w:eastAsia="Verdana" w:hAnsi="Verdana" w:cs="Verdana"/>
                <w:sz w:val="18"/>
                <w:szCs w:val="18"/>
                <w:lang w:val="en-US"/>
              </w:rPr>
              <w:t>35-1626</w:t>
            </w:r>
            <w:r>
              <w:rPr>
                <w:rStyle w:val="Questionarie-instanceQuestion-text"/>
                <w:rFonts w:ascii="Verdana" w:eastAsia="Verdana" w:hAnsi="Verdana" w:cs="Verdana"/>
                <w:sz w:val="18"/>
                <w:szCs w:val="18"/>
                <w:lang w:val="en-US"/>
              </w:rPr>
              <w:t>.</w:t>
            </w:r>
            <w:r w:rsidRPr="00424101">
              <w:rPr>
                <w:rStyle w:val="Questionarie-instanceQuestion-text"/>
                <w:rFonts w:ascii="Verdana" w:eastAsia="Verdana" w:hAnsi="Verdana" w:cs="Verdana"/>
                <w:sz w:val="18"/>
                <w:szCs w:val="18"/>
                <w:lang w:val="en-US"/>
              </w:rPr>
              <w:t>5 MHz</w:t>
            </w:r>
            <w:r>
              <w:rPr>
                <w:rStyle w:val="Questionarie-instanceQuestion-text"/>
                <w:rFonts w:ascii="Verdana" w:eastAsia="Verdana" w:hAnsi="Verdana" w:cs="Verdana"/>
                <w:sz w:val="18"/>
                <w:szCs w:val="18"/>
                <w:lang w:val="en-US"/>
              </w:rPr>
              <w:t xml:space="preserve"> (uplink)</w:t>
            </w:r>
          </w:p>
        </w:tc>
        <w:tc>
          <w:tcPr>
            <w:tcW w:w="5056" w:type="dxa"/>
          </w:tcPr>
          <w:p w:rsidR="007F0548" w:rsidRDefault="007F0548" w:rsidP="008077D5">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Sweden</w:t>
            </w:r>
          </w:p>
        </w:tc>
      </w:tr>
      <w:tr w:rsidR="00627BDF" w:rsidRPr="00FA7622" w:rsidTr="00627BDF">
        <w:tc>
          <w:tcPr>
            <w:tcW w:w="5056" w:type="dxa"/>
          </w:tcPr>
          <w:p w:rsidR="00627BDF" w:rsidRDefault="00B66957">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sidRPr="00B66957">
              <w:rPr>
                <w:rStyle w:val="Questionarie-instanceQuestion-text"/>
                <w:rFonts w:ascii="Verdana" w:eastAsia="Verdana" w:hAnsi="Verdana" w:cs="Verdana"/>
                <w:sz w:val="18"/>
                <w:szCs w:val="18"/>
                <w:lang w:val="en-US"/>
              </w:rPr>
              <w:t>1621,35-1626,5 MHz</w:t>
            </w:r>
            <w:r>
              <w:rPr>
                <w:rStyle w:val="Questionarie-instanceQuestion-text"/>
                <w:rFonts w:ascii="Verdana" w:eastAsia="Verdana" w:hAnsi="Verdana" w:cs="Verdana"/>
                <w:sz w:val="18"/>
                <w:szCs w:val="18"/>
                <w:lang w:val="en-US"/>
              </w:rPr>
              <w:t xml:space="preserve"> </w:t>
            </w:r>
            <w:r w:rsidRPr="00B66957">
              <w:rPr>
                <w:rStyle w:val="Questionarie-instanceQuestion-text"/>
                <w:rFonts w:ascii="Verdana" w:eastAsia="Verdana" w:hAnsi="Verdana" w:cs="Verdana"/>
                <w:sz w:val="18"/>
                <w:szCs w:val="18"/>
                <w:lang w:val="en-US"/>
              </w:rPr>
              <w:t>(uplink and downlink)</w:t>
            </w:r>
          </w:p>
        </w:tc>
        <w:tc>
          <w:tcPr>
            <w:tcW w:w="5056" w:type="dxa"/>
          </w:tcPr>
          <w:p w:rsidR="00627BDF" w:rsidRDefault="00B66957" w:rsidP="00897580">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France, Germany,</w:t>
            </w:r>
            <w:r w:rsidR="00897580">
              <w:rPr>
                <w:rStyle w:val="Questionarie-instanceQuestion-text"/>
                <w:rFonts w:ascii="Verdana" w:eastAsia="Verdana" w:hAnsi="Verdana" w:cs="Verdana"/>
                <w:sz w:val="18"/>
                <w:szCs w:val="18"/>
                <w:lang w:val="en-US"/>
              </w:rPr>
              <w:t xml:space="preserve"> Romania, Russian Federation, Switzerland, United Kingdom, Ukraine</w:t>
            </w:r>
          </w:p>
        </w:tc>
      </w:tr>
      <w:tr w:rsidR="007F0548" w:rsidRPr="00424101" w:rsidTr="008077D5">
        <w:tc>
          <w:tcPr>
            <w:tcW w:w="5056" w:type="dxa"/>
          </w:tcPr>
          <w:p w:rsidR="007F0548" w:rsidRDefault="007F0548" w:rsidP="008077D5">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sidRPr="00B66957">
              <w:rPr>
                <w:rStyle w:val="Questionarie-instanceQuestion-text"/>
                <w:rFonts w:ascii="Verdana" w:eastAsia="Verdana" w:hAnsi="Verdana" w:cs="Verdana"/>
                <w:sz w:val="18"/>
                <w:szCs w:val="18"/>
                <w:lang w:val="en-US"/>
              </w:rPr>
              <w:t>1621.35 – 1626.5 MHz , 1617.775 – 1618.25 MHz</w:t>
            </w:r>
            <w:r>
              <w:rPr>
                <w:rStyle w:val="Questionarie-instanceQuestion-text"/>
                <w:rFonts w:ascii="Verdana" w:eastAsia="Verdana" w:hAnsi="Verdana" w:cs="Verdana"/>
                <w:sz w:val="18"/>
                <w:szCs w:val="18"/>
                <w:lang w:val="en-US"/>
              </w:rPr>
              <w:t xml:space="preserve"> </w:t>
            </w:r>
            <w:r w:rsidRPr="00B66957">
              <w:rPr>
                <w:rStyle w:val="Questionarie-instanceQuestion-text"/>
                <w:rFonts w:ascii="Verdana" w:eastAsia="Verdana" w:hAnsi="Verdana" w:cs="Verdana"/>
                <w:sz w:val="18"/>
                <w:szCs w:val="18"/>
                <w:lang w:val="en-US"/>
              </w:rPr>
              <w:t>(uplink and downlink)</w:t>
            </w:r>
          </w:p>
        </w:tc>
        <w:tc>
          <w:tcPr>
            <w:tcW w:w="5056" w:type="dxa"/>
          </w:tcPr>
          <w:p w:rsidR="007F0548" w:rsidRDefault="007F0548" w:rsidP="008077D5">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Italy</w:t>
            </w:r>
          </w:p>
        </w:tc>
      </w:tr>
      <w:tr w:rsidR="007F0548" w:rsidRPr="00FA7622" w:rsidTr="008077D5">
        <w:tc>
          <w:tcPr>
            <w:tcW w:w="5056" w:type="dxa"/>
          </w:tcPr>
          <w:p w:rsidR="007F0548" w:rsidRPr="00627BDF" w:rsidRDefault="007F0548" w:rsidP="008077D5">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sidRPr="00897580">
              <w:rPr>
                <w:rStyle w:val="Questionarie-instanceQuestion-text"/>
                <w:rFonts w:ascii="Verdana" w:eastAsia="Verdana" w:hAnsi="Verdana" w:cs="Verdana"/>
                <w:sz w:val="18"/>
                <w:szCs w:val="18"/>
                <w:lang w:val="en-US"/>
              </w:rPr>
              <w:t>1618.25 to 1626.5 MHz</w:t>
            </w:r>
          </w:p>
        </w:tc>
        <w:tc>
          <w:tcPr>
            <w:tcW w:w="5056" w:type="dxa"/>
          </w:tcPr>
          <w:p w:rsidR="007F0548" w:rsidRDefault="007F0548" w:rsidP="008077D5">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Portugal</w:t>
            </w:r>
            <w:r w:rsidR="001A20C6">
              <w:rPr>
                <w:rStyle w:val="Questionarie-instanceQuestion-text"/>
                <w:rFonts w:ascii="Verdana" w:eastAsia="Verdana" w:hAnsi="Verdana" w:cs="Verdana"/>
                <w:sz w:val="18"/>
                <w:szCs w:val="18"/>
                <w:lang w:val="en-US"/>
              </w:rPr>
              <w:t xml:space="preserve"> (see full comment for details)</w:t>
            </w:r>
            <w:r>
              <w:rPr>
                <w:rStyle w:val="Questionarie-instanceQuestion-text"/>
                <w:rFonts w:ascii="Verdana" w:eastAsia="Verdana" w:hAnsi="Verdana" w:cs="Verdana"/>
                <w:sz w:val="18"/>
                <w:szCs w:val="18"/>
                <w:lang w:val="en-US"/>
              </w:rPr>
              <w:t>, Spain</w:t>
            </w:r>
          </w:p>
        </w:tc>
      </w:tr>
      <w:tr w:rsidR="00250420" w:rsidRPr="00250420" w:rsidTr="00627BDF">
        <w:tc>
          <w:tcPr>
            <w:tcW w:w="5056" w:type="dxa"/>
          </w:tcPr>
          <w:p w:rsidR="00250420" w:rsidRDefault="00250420" w:rsidP="00250420">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sidRPr="00250420">
              <w:rPr>
                <w:rStyle w:val="Questionarie-instanceQuestion-text"/>
                <w:rFonts w:ascii="Verdana" w:eastAsia="Verdana" w:hAnsi="Verdana" w:cs="Verdana"/>
                <w:sz w:val="18"/>
                <w:szCs w:val="18"/>
                <w:lang w:val="en-US"/>
              </w:rPr>
              <w:t xml:space="preserve">1616 - 1626.5 MHz </w:t>
            </w:r>
            <w:r>
              <w:rPr>
                <w:rStyle w:val="Questionarie-instanceQuestion-text"/>
                <w:rFonts w:ascii="Verdana" w:eastAsia="Verdana" w:hAnsi="Verdana" w:cs="Verdana"/>
                <w:sz w:val="18"/>
                <w:szCs w:val="18"/>
                <w:lang w:val="en-US"/>
              </w:rPr>
              <w:t>(uplink)</w:t>
            </w:r>
          </w:p>
          <w:p w:rsidR="00A1509C" w:rsidRPr="00424101" w:rsidRDefault="00A1509C" w:rsidP="00250420">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sidRPr="00A1509C">
              <w:rPr>
                <w:rStyle w:val="Questionarie-instanceQuestion-text"/>
                <w:rFonts w:ascii="Verdana" w:eastAsia="Verdana" w:hAnsi="Verdana" w:cs="Verdana"/>
                <w:sz w:val="18"/>
                <w:szCs w:val="18"/>
                <w:lang w:val="en-US"/>
              </w:rPr>
              <w:t>1613.8 – 1626.5 MHz (downlink)</w:t>
            </w:r>
          </w:p>
        </w:tc>
        <w:tc>
          <w:tcPr>
            <w:tcW w:w="5056" w:type="dxa"/>
          </w:tcPr>
          <w:p w:rsidR="00250420" w:rsidRDefault="00250420" w:rsidP="00897580">
            <w:pPr>
              <w:pStyle w:val="Questionarie-instance"/>
              <w:keepLines/>
              <w:pBdr>
                <w:top w:val="none" w:sz="0" w:space="0" w:color="auto"/>
                <w:left w:val="none" w:sz="0" w:space="0" w:color="auto"/>
                <w:bottom w:val="none" w:sz="0" w:space="0" w:color="auto"/>
                <w:right w:val="none" w:sz="0" w:space="0" w:color="auto"/>
              </w:pBdr>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Turkey</w:t>
            </w:r>
          </w:p>
        </w:tc>
      </w:tr>
    </w:tbl>
    <w:p w:rsidR="00627BDF" w:rsidRDefault="00897580">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 xml:space="preserve">  </w:t>
      </w:r>
    </w:p>
    <w:p w:rsidR="00627BDF" w:rsidRDefault="00627BDF">
      <w:pPr>
        <w:pStyle w:val="Questionarie-instance"/>
        <w:keepLines/>
        <w:rPr>
          <w:rStyle w:val="Questionarie-instanceQuestion-text"/>
          <w:rFonts w:ascii="Verdana" w:eastAsia="Verdana" w:hAnsi="Verdana" w:cs="Verdana"/>
          <w:sz w:val="18"/>
          <w:szCs w:val="18"/>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2157"/>
        <w:gridCol w:w="8040"/>
      </w:tblGrid>
      <w:tr w:rsidR="006205E3" w:rsidRPr="0063334D"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63334D" w:rsidRDefault="006205E3">
            <w:pPr>
              <w:rPr>
                <w:lang w:val="en-US"/>
              </w:rPr>
            </w:pPr>
            <w:r w:rsidRPr="0063334D">
              <w:rPr>
                <w:rFonts w:ascii="Verdana" w:eastAsia="Verdana" w:hAnsi="Verdana" w:cs="Verdana"/>
                <w:sz w:val="18"/>
                <w:szCs w:val="18"/>
                <w:lang w:val="en-US"/>
              </w:rPr>
              <w:t>Albania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63334D" w:rsidRDefault="006205E3">
            <w:pPr>
              <w:rPr>
                <w:lang w:val="en-US"/>
              </w:rPr>
            </w:pPr>
            <w:proofErr w:type="gramStart"/>
            <w:r w:rsidRPr="0063334D">
              <w:rPr>
                <w:rFonts w:ascii="Verdana" w:eastAsia="Verdana" w:hAnsi="Verdana" w:cs="Verdana"/>
                <w:sz w:val="18"/>
                <w:szCs w:val="18"/>
                <w:lang w:val="en-US"/>
              </w:rPr>
              <w:t>see</w:t>
            </w:r>
            <w:proofErr w:type="gramEnd"/>
            <w:r w:rsidRPr="0063334D">
              <w:rPr>
                <w:rFonts w:ascii="Verdana" w:eastAsia="Verdana" w:hAnsi="Verdana" w:cs="Verdana"/>
                <w:sz w:val="18"/>
                <w:szCs w:val="18"/>
                <w:lang w:val="en-US"/>
              </w:rPr>
              <w:t xml:space="preserve"> answer 1.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63334D" w:rsidRDefault="006205E3">
            <w:pPr>
              <w:rPr>
                <w:lang w:val="en-US"/>
              </w:rPr>
            </w:pPr>
            <w:r w:rsidRPr="0063334D">
              <w:rPr>
                <w:rFonts w:ascii="Verdana" w:eastAsia="Verdana" w:hAnsi="Verdana" w:cs="Verdana"/>
                <w:sz w:val="18"/>
                <w:szCs w:val="18"/>
                <w:lang w:val="en-US"/>
              </w:rPr>
              <w:t>Austria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sidRPr="0063334D">
              <w:rPr>
                <w:rFonts w:ascii="Verdana" w:eastAsia="Verdana" w:hAnsi="Verdana" w:cs="Verdana"/>
                <w:sz w:val="18"/>
                <w:szCs w:val="18"/>
                <w:lang w:val="en-US"/>
              </w:rPr>
              <w:t xml:space="preserve">See answer to question </w:t>
            </w:r>
            <w:r>
              <w:rPr>
                <w:rFonts w:ascii="Verdana" w:eastAsia="Verdana" w:hAnsi="Verdana" w:cs="Verdana"/>
                <w:sz w:val="18"/>
                <w:szCs w:val="18"/>
              </w:rPr>
              <w:t xml:space="preserve">1.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Belgium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In accordance with ECC Decision (12)01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Bulgaria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n/a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Croatia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A51A2D">
            <w:pPr>
              <w:rPr>
                <w:lang w:val="en-US"/>
              </w:rPr>
            </w:pPr>
            <w:r w:rsidRPr="00A51A2D">
              <w:rPr>
                <w:rFonts w:ascii="Verdana" w:eastAsia="Verdana" w:hAnsi="Verdana" w:cs="Verdana"/>
                <w:sz w:val="18"/>
                <w:szCs w:val="18"/>
                <w:lang w:val="en-US"/>
              </w:rPr>
              <w:t>Answer: Allowed operation bandwidth for the Iridium S-PCS terminals is 1610 – 1626.5 MHz (uplink) and 1613.8 – 1626.5 MHz (downlink).</w:t>
            </w:r>
          </w:p>
        </w:tc>
      </w:tr>
      <w:tr w:rsidR="006205E3" w:rsidRPr="001D510F"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Cyprus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In accordance to the technical characteristics described in ECC/DEC</w:t>
            </w:r>
            <w:proofErr w:type="gramStart"/>
            <w:r w:rsidRPr="00BF24FC">
              <w:rPr>
                <w:rFonts w:ascii="Verdana" w:eastAsia="Verdana" w:hAnsi="Verdana" w:cs="Verdana"/>
                <w:sz w:val="18"/>
                <w:szCs w:val="18"/>
                <w:lang w:val="en-US"/>
              </w:rPr>
              <w:t>/(</w:t>
            </w:r>
            <w:proofErr w:type="gramEnd"/>
            <w:r w:rsidRPr="00BF24FC">
              <w:rPr>
                <w:rFonts w:ascii="Verdana" w:eastAsia="Verdana" w:hAnsi="Verdana" w:cs="Verdana"/>
                <w:sz w:val="18"/>
                <w:szCs w:val="18"/>
                <w:lang w:val="en-US"/>
              </w:rPr>
              <w:t xml:space="preserve">09)02.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Czech Republic</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There is not limit of bandwi</w:t>
            </w:r>
            <w:r w:rsidR="00C5628C">
              <w:rPr>
                <w:rFonts w:ascii="Verdana" w:eastAsia="Verdana" w:hAnsi="Verdana" w:cs="Verdana"/>
                <w:sz w:val="18"/>
                <w:szCs w:val="18"/>
                <w:lang w:val="en-US"/>
              </w:rPr>
              <w:t>d</w:t>
            </w:r>
            <w:r w:rsidRPr="00BF24FC">
              <w:rPr>
                <w:rFonts w:ascii="Verdana" w:eastAsia="Verdana" w:hAnsi="Verdana" w:cs="Verdana"/>
                <w:sz w:val="18"/>
                <w:szCs w:val="18"/>
                <w:lang w:val="en-US"/>
              </w:rPr>
              <w:t xml:space="preserve">th for Iridium for the time being.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Denmark</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n/a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Estonia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1610,0-1626,5 MHz (uplink), 1613,8-1626,5 MHz (downlink) and 2483.5-2500 MHz (downlink)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Finland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We do not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Iridium satellites. </w:t>
            </w:r>
          </w:p>
        </w:tc>
      </w:tr>
      <w:tr w:rsidR="006205E3" w:rsidRPr="001D510F"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pPr>
              <w:rPr>
                <w:rFonts w:ascii="Verdana" w:eastAsia="Verdana" w:hAnsi="Verdana" w:cs="Verdana"/>
                <w:sz w:val="18"/>
                <w:szCs w:val="18"/>
              </w:rPr>
            </w:pPr>
            <w:r>
              <w:rPr>
                <w:rFonts w:ascii="Verdana" w:eastAsia="Verdana" w:hAnsi="Verdana" w:cs="Verdana"/>
                <w:sz w:val="18"/>
                <w:szCs w:val="18"/>
              </w:rPr>
              <w:t>France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rFonts w:ascii="Verdana" w:eastAsia="Verdana" w:hAnsi="Verdana" w:cs="Verdana"/>
                <w:sz w:val="18"/>
                <w:szCs w:val="18"/>
                <w:lang w:val="en-US"/>
              </w:rPr>
            </w:pPr>
            <w:r w:rsidRPr="006205E3">
              <w:rPr>
                <w:rFonts w:ascii="Verdana" w:eastAsia="Verdana" w:hAnsi="Verdana" w:cs="Verdana"/>
                <w:sz w:val="18"/>
                <w:szCs w:val="18"/>
                <w:lang w:val="en-US"/>
              </w:rPr>
              <w:t>1621</w:t>
            </w:r>
            <w:proofErr w:type="gramStart"/>
            <w:r w:rsidRPr="006205E3">
              <w:rPr>
                <w:rFonts w:ascii="Verdana" w:eastAsia="Verdana" w:hAnsi="Verdana" w:cs="Verdana"/>
                <w:sz w:val="18"/>
                <w:szCs w:val="18"/>
                <w:lang w:val="en-US"/>
              </w:rPr>
              <w:t>,35</w:t>
            </w:r>
            <w:proofErr w:type="gramEnd"/>
            <w:r w:rsidRPr="006205E3">
              <w:rPr>
                <w:rFonts w:ascii="Verdana" w:eastAsia="Verdana" w:hAnsi="Verdana" w:cs="Verdana"/>
                <w:sz w:val="18"/>
                <w:szCs w:val="18"/>
                <w:lang w:val="en-US"/>
              </w:rPr>
              <w:t>-1626,5 MHz for both earth to space and space to earth transmissions.</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Germany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 </w:t>
            </w:r>
            <w:proofErr w:type="spellStart"/>
            <w:r w:rsidRPr="00BF24FC">
              <w:rPr>
                <w:rFonts w:ascii="Verdana" w:eastAsia="Verdana" w:hAnsi="Verdana" w:cs="Verdana"/>
                <w:sz w:val="18"/>
                <w:szCs w:val="18"/>
                <w:lang w:val="en-US"/>
              </w:rPr>
              <w:t>authorised</w:t>
            </w:r>
            <w:proofErr w:type="spellEnd"/>
            <w:r w:rsidRPr="00BF24FC">
              <w:rPr>
                <w:rFonts w:ascii="Verdana" w:eastAsia="Verdana" w:hAnsi="Verdana" w:cs="Verdana"/>
                <w:sz w:val="18"/>
                <w:szCs w:val="18"/>
                <w:lang w:val="en-US"/>
              </w:rPr>
              <w:t xml:space="preserve"> bandwidth is 1621.35-1626.5 </w:t>
            </w:r>
            <w:proofErr w:type="spellStart"/>
            <w:r w:rsidRPr="00BF24FC">
              <w:rPr>
                <w:rFonts w:ascii="Verdana" w:eastAsia="Verdana" w:hAnsi="Verdana" w:cs="Verdana"/>
                <w:sz w:val="18"/>
                <w:szCs w:val="18"/>
                <w:lang w:val="en-US"/>
              </w:rPr>
              <w:t>MHz.</w:t>
            </w:r>
            <w:proofErr w:type="spellEnd"/>
            <w:r w:rsidRPr="00BF24FC">
              <w:rPr>
                <w:rFonts w:ascii="Verdana" w:eastAsia="Verdana" w:hAnsi="Verdana" w:cs="Verdana"/>
                <w:sz w:val="18"/>
                <w:szCs w:val="18"/>
                <w:lang w:val="en-US"/>
              </w:rPr>
              <w:t xml:space="preserv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Greece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licenses have been issued.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Hungary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Ireland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proofErr w:type="spellStart"/>
            <w:r w:rsidRPr="00BF24FC">
              <w:rPr>
                <w:rFonts w:ascii="Verdana" w:eastAsia="Verdana" w:hAnsi="Verdana" w:cs="Verdana"/>
                <w:sz w:val="18"/>
                <w:szCs w:val="18"/>
                <w:lang w:val="en-US"/>
              </w:rPr>
              <w:t>Licences</w:t>
            </w:r>
            <w:proofErr w:type="spellEnd"/>
            <w:r w:rsidRPr="00BF24FC">
              <w:rPr>
                <w:rFonts w:ascii="Verdana" w:eastAsia="Verdana" w:hAnsi="Verdana" w:cs="Verdana"/>
                <w:sz w:val="18"/>
                <w:szCs w:val="18"/>
                <w:lang w:val="en-US"/>
              </w:rPr>
              <w:t xml:space="preserve"> are not issued for Iridium satellites. However, on a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exempt basis within Ireland (assuming that this question is asking for the size of the frequency band within which Iridium satellites are allowed to operate), operation is permitted within the entire band 1610-1626.5 </w:t>
            </w:r>
            <w:proofErr w:type="spellStart"/>
            <w:r w:rsidRPr="00BF24FC">
              <w:rPr>
                <w:rFonts w:ascii="Verdana" w:eastAsia="Verdana" w:hAnsi="Verdana" w:cs="Verdana"/>
                <w:sz w:val="18"/>
                <w:szCs w:val="18"/>
                <w:lang w:val="en-US"/>
              </w:rPr>
              <w:t>MHz.</w:t>
            </w:r>
            <w:proofErr w:type="spellEnd"/>
            <w:r w:rsidRPr="00BF24FC">
              <w:rPr>
                <w:rFonts w:ascii="Verdana" w:eastAsia="Verdana" w:hAnsi="Verdana" w:cs="Verdana"/>
                <w:sz w:val="18"/>
                <w:szCs w:val="18"/>
                <w:lang w:val="en-US"/>
              </w:rPr>
              <w:t xml:space="preserv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E456D2">
            <w:r>
              <w:rPr>
                <w:rFonts w:ascii="Verdana" w:eastAsia="Verdana" w:hAnsi="Verdana" w:cs="Verdana"/>
                <w:sz w:val="18"/>
                <w:szCs w:val="18"/>
              </w:rPr>
              <w:t>I</w:t>
            </w:r>
            <w:r w:rsidR="00E456D2">
              <w:rPr>
                <w:rFonts w:ascii="Verdana" w:eastAsia="Verdana" w:hAnsi="Verdana" w:cs="Verdana"/>
                <w:sz w:val="18"/>
                <w:szCs w:val="18"/>
              </w:rPr>
              <w:t>taly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1621.35 – 1626.5 MHz , 1617.775 – 1618.25 MHz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Latvia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N/A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Lithuania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 license issued.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Pr>
                <w:rFonts w:ascii="Verdana" w:eastAsia="Verdana" w:hAnsi="Verdana" w:cs="Verdana"/>
                <w:sz w:val="18"/>
                <w:szCs w:val="18"/>
                <w:lang w:val="en-US"/>
              </w:rPr>
              <w:t>Montenegro</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Netherlands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66957" w:rsidRDefault="00B66957">
            <w:pPr>
              <w:rPr>
                <w:lang w:val="en-US"/>
              </w:rPr>
            </w:pPr>
            <w:r w:rsidRPr="00B66957">
              <w:rPr>
                <w:rFonts w:ascii="Verdana" w:eastAsia="Verdana" w:hAnsi="Verdana" w:cs="Verdana"/>
                <w:sz w:val="18"/>
                <w:szCs w:val="18"/>
                <w:u w:val="single"/>
                <w:lang w:val="en-US"/>
              </w:rPr>
              <w:t>Note ECO</w:t>
            </w:r>
            <w:r>
              <w:rPr>
                <w:rFonts w:ascii="Verdana" w:eastAsia="Verdana" w:hAnsi="Verdana" w:cs="Verdana"/>
                <w:sz w:val="18"/>
                <w:szCs w:val="18"/>
                <w:lang w:val="en-US"/>
              </w:rPr>
              <w:t xml:space="preserve">: </w:t>
            </w:r>
            <w:r w:rsidRPr="00B66957">
              <w:rPr>
                <w:rFonts w:ascii="Verdana" w:eastAsia="Verdana" w:hAnsi="Verdana" w:cs="Verdana"/>
                <w:sz w:val="18"/>
                <w:szCs w:val="18"/>
                <w:lang w:val="en-US"/>
              </w:rPr>
              <w:t xml:space="preserve">NED has implemented </w:t>
            </w:r>
            <w:r w:rsidR="006205E3" w:rsidRPr="00B66957">
              <w:rPr>
                <w:rFonts w:ascii="Verdana" w:eastAsia="Verdana" w:hAnsi="Verdana" w:cs="Verdana"/>
                <w:sz w:val="18"/>
                <w:szCs w:val="18"/>
                <w:lang w:val="en-US"/>
              </w:rPr>
              <w:t xml:space="preserve"> </w:t>
            </w:r>
            <w:r w:rsidRPr="00B66957">
              <w:rPr>
                <w:rFonts w:ascii="Verdana" w:eastAsia="Verdana" w:hAnsi="Verdana" w:cs="Verdana"/>
                <w:sz w:val="18"/>
                <w:szCs w:val="18"/>
                <w:lang w:val="en-US"/>
              </w:rPr>
              <w:t>ECC Decision (12)01</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Norway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General authorisations regulations - The whole band – 1610 – 1626.5 MHz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lang w:val="en-US"/>
              </w:rPr>
              <w:t>Poland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According to the sub-class 14’s definition, MSS are allowed to operate in the 1610-1613,5 MHz, 1613,8-1626,5 MHz and 2483,5-2500 MHz bands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Portugal</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 current </w:t>
            </w:r>
            <w:proofErr w:type="spellStart"/>
            <w:r w:rsidRPr="00BF24FC">
              <w:rPr>
                <w:rFonts w:ascii="Verdana" w:eastAsia="Verdana" w:hAnsi="Verdana" w:cs="Verdana"/>
                <w:sz w:val="18"/>
                <w:szCs w:val="18"/>
                <w:lang w:val="en-US"/>
              </w:rPr>
              <w:t>authorisation</w:t>
            </w:r>
            <w:proofErr w:type="spellEnd"/>
            <w:r w:rsidRPr="00BF24FC">
              <w:rPr>
                <w:rFonts w:ascii="Verdana" w:eastAsia="Verdana" w:hAnsi="Verdana" w:cs="Verdana"/>
                <w:sz w:val="18"/>
                <w:szCs w:val="18"/>
                <w:lang w:val="en-US"/>
              </w:rPr>
              <w:t xml:space="preserve"> covers the 1621.35-1626.5 MHz frequency band. Temporary authorisations have been granted for the 1618.25-1621.35 MHz extended band.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Romania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1621.35 – 1626.5 MHz uplink and downlink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Russian Federation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 user terminal operation bandwidth is 1621.35-1626.5 MHz (Earth-space, space-Earth)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6205E3">
            <w:r>
              <w:rPr>
                <w:rFonts w:ascii="Verdana" w:eastAsia="Verdana" w:hAnsi="Verdana" w:cs="Verdana"/>
                <w:sz w:val="18"/>
                <w:szCs w:val="18"/>
              </w:rPr>
              <w:t xml:space="preserve">Serbia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current license for the Iridium satellites.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Slovakia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We do not have specified operation bandwidth. It is apparent from the system definition.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Slovenia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According to the ERC/DEC/(97)03;Iridium; TDMA; 1616.0-1626.5 MHz; 1621.35-1626.5 MHz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Spain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 license allows the use of the band from 1618.25 to 1626.5 MHz by Iridium for both uplink and downlink </w:t>
            </w:r>
          </w:p>
        </w:tc>
      </w:tr>
      <w:tr w:rsidR="00424101"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101" w:rsidRDefault="00424101">
            <w:pPr>
              <w:rPr>
                <w:rFonts w:ascii="Verdana" w:eastAsia="Verdana" w:hAnsi="Verdana" w:cs="Verdana"/>
                <w:sz w:val="18"/>
                <w:szCs w:val="18"/>
              </w:rPr>
            </w:pPr>
            <w:r>
              <w:rPr>
                <w:rFonts w:ascii="Verdana" w:eastAsia="Verdana" w:hAnsi="Verdana" w:cs="Verdana"/>
                <w:sz w:val="18"/>
                <w:szCs w:val="18"/>
              </w:rPr>
              <w:lastRenderedPageBreak/>
              <w:t>Sweden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101" w:rsidRPr="00BF24FC" w:rsidRDefault="00424101">
            <w:pPr>
              <w:rPr>
                <w:rFonts w:ascii="Verdana" w:eastAsia="Verdana" w:hAnsi="Verdana" w:cs="Verdana"/>
                <w:sz w:val="18"/>
                <w:szCs w:val="18"/>
                <w:lang w:val="en-US"/>
              </w:rPr>
            </w:pPr>
            <w:r w:rsidRPr="00424101">
              <w:rPr>
                <w:rFonts w:ascii="Verdana" w:eastAsia="Verdana" w:hAnsi="Verdana" w:cs="Verdana"/>
                <w:sz w:val="18"/>
                <w:szCs w:val="18"/>
                <w:lang w:val="en-US"/>
              </w:rPr>
              <w:t>Please see the answer to question 1.</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Switzerland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for Uplink and Downlink &gt;&gt; 5.15 MHz (1621.35-1626.5 MHz) </w:t>
            </w:r>
          </w:p>
        </w:tc>
      </w:tr>
      <w:tr w:rsidR="00250420"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Default="00250420">
            <w:pPr>
              <w:rPr>
                <w:rFonts w:ascii="Verdana" w:eastAsia="Verdana" w:hAnsi="Verdana" w:cs="Verdana"/>
                <w:sz w:val="18"/>
                <w:szCs w:val="18"/>
              </w:rPr>
            </w:pPr>
            <w:r>
              <w:rPr>
                <w:rFonts w:ascii="Verdana" w:eastAsia="Verdana" w:hAnsi="Verdana" w:cs="Verdana"/>
                <w:sz w:val="18"/>
                <w:szCs w:val="18"/>
              </w:rPr>
              <w:t>Turkey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Pr="00BF24FC" w:rsidRDefault="00250420">
            <w:pPr>
              <w:rPr>
                <w:rFonts w:ascii="Verdana" w:eastAsia="Verdana" w:hAnsi="Verdana" w:cs="Verdana"/>
                <w:sz w:val="18"/>
                <w:szCs w:val="18"/>
                <w:lang w:val="en-US"/>
              </w:rPr>
            </w:pPr>
            <w:r w:rsidRPr="00250420">
              <w:rPr>
                <w:rFonts w:ascii="Verdana" w:eastAsia="Verdana" w:hAnsi="Verdana" w:cs="Verdana"/>
                <w:sz w:val="18"/>
                <w:szCs w:val="18"/>
                <w:lang w:val="en-US"/>
              </w:rPr>
              <w:t>User satellite link band : 1616 - 1626.5 MHz L band</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Ukraine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In accordance with the Plan for the Use of the Radio Frequency Resource of Ukraine, both uplink and downlink </w:t>
            </w:r>
            <w:proofErr w:type="spellStart"/>
            <w:r w:rsidRPr="00BF24FC">
              <w:rPr>
                <w:rFonts w:ascii="Verdana" w:eastAsia="Verdana" w:hAnsi="Verdana" w:cs="Verdana"/>
                <w:sz w:val="18"/>
                <w:szCs w:val="18"/>
                <w:lang w:val="en-US"/>
              </w:rPr>
              <w:t>Irridium</w:t>
            </w:r>
            <w:proofErr w:type="spellEnd"/>
            <w:r w:rsidRPr="00BF24FC">
              <w:rPr>
                <w:rFonts w:ascii="Verdana" w:eastAsia="Verdana" w:hAnsi="Verdana" w:cs="Verdana"/>
                <w:sz w:val="18"/>
                <w:szCs w:val="18"/>
                <w:lang w:val="en-US"/>
              </w:rPr>
              <w:t xml:space="preserve"> operations can be performed only in the frequency band 1621.5 - 1626.5 </w:t>
            </w:r>
            <w:proofErr w:type="spellStart"/>
            <w:r w:rsidRPr="00BF24FC">
              <w:rPr>
                <w:rFonts w:ascii="Verdana" w:eastAsia="Verdana" w:hAnsi="Verdana" w:cs="Verdana"/>
                <w:sz w:val="18"/>
                <w:szCs w:val="18"/>
                <w:lang w:val="en-US"/>
              </w:rPr>
              <w:t>MHz.</w:t>
            </w:r>
            <w:proofErr w:type="spellEnd"/>
            <w:r w:rsidRPr="00BF24FC">
              <w:rPr>
                <w:rFonts w:ascii="Verdana" w:eastAsia="Verdana" w:hAnsi="Verdana" w:cs="Verdana"/>
                <w:sz w:val="18"/>
                <w:szCs w:val="18"/>
                <w:lang w:val="en-US"/>
              </w:rPr>
              <w:t xml:space="preserv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United Kingdom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1621.35 - 1626.5 MHz for both uplink and downlink </w:t>
            </w:r>
          </w:p>
        </w:tc>
      </w:tr>
    </w:tbl>
    <w:p w:rsidR="007001A7" w:rsidRDefault="007001A7">
      <w:pPr>
        <w:pStyle w:val="Questionarie-instance"/>
        <w:keepLines/>
        <w:rPr>
          <w:rFonts w:ascii="Verdana" w:eastAsia="Verdana" w:hAnsi="Verdana" w:cs="Verdana"/>
          <w:b/>
          <w:bCs/>
          <w:sz w:val="18"/>
          <w:szCs w:val="18"/>
          <w:lang w:val="en-US"/>
        </w:rPr>
      </w:pPr>
    </w:p>
    <w:p w:rsidR="00424101" w:rsidRDefault="00424101" w:rsidP="00424101">
      <w:pPr>
        <w:rPr>
          <w:rFonts w:ascii="Verdana" w:eastAsia="Verdana" w:hAnsi="Verdana" w:cs="Verdana"/>
          <w:b/>
          <w:bCs/>
          <w:sz w:val="18"/>
          <w:szCs w:val="18"/>
          <w:lang w:val="en-US"/>
        </w:rPr>
      </w:pPr>
    </w:p>
    <w:p w:rsidR="0001038F" w:rsidRPr="004C7679" w:rsidRDefault="00FD6D0C" w:rsidP="00424101">
      <w:pPr>
        <w:rPr>
          <w:rStyle w:val="Questionarie-instanceQuestion-text"/>
          <w:rFonts w:ascii="Verdana" w:eastAsia="Verdana" w:hAnsi="Verdana" w:cs="Verdana"/>
          <w:sz w:val="22"/>
          <w:szCs w:val="22"/>
          <w:lang w:val="en-US"/>
        </w:rPr>
      </w:pPr>
      <w:r w:rsidRPr="004C7679">
        <w:rPr>
          <w:rFonts w:ascii="Verdana" w:eastAsia="Verdana" w:hAnsi="Verdana" w:cs="Verdana"/>
          <w:b/>
          <w:bCs/>
          <w:sz w:val="22"/>
          <w:szCs w:val="22"/>
          <w:lang w:val="en-US"/>
        </w:rPr>
        <w:t xml:space="preserve">Question 3: </w:t>
      </w:r>
      <w:r w:rsidRPr="004C7679">
        <w:rPr>
          <w:rStyle w:val="Questionarie-instanceQuestion-text"/>
          <w:rFonts w:ascii="Verdana" w:eastAsia="Verdana" w:hAnsi="Verdana" w:cs="Verdana"/>
          <w:sz w:val="22"/>
          <w:szCs w:val="22"/>
          <w:lang w:val="en-US"/>
        </w:rPr>
        <w:t xml:space="preserve">What is the duration of the current license for Iridium and when will be the next reviewing session (for uplink, for downlink)? </w:t>
      </w:r>
    </w:p>
    <w:p w:rsidR="00897580" w:rsidRPr="004C7679" w:rsidRDefault="00897580" w:rsidP="003D146E">
      <w:pPr>
        <w:pStyle w:val="Questionarie-instance"/>
        <w:keepLines/>
        <w:rPr>
          <w:rStyle w:val="Questionarie-instanceQuestion-text"/>
          <w:rFonts w:ascii="Verdana" w:eastAsia="Verdana" w:hAnsi="Verdana" w:cs="Verdana"/>
          <w:sz w:val="22"/>
          <w:szCs w:val="22"/>
          <w:lang w:val="en-US"/>
        </w:rPr>
      </w:pPr>
    </w:p>
    <w:p w:rsidR="00897580" w:rsidRPr="004C7679" w:rsidRDefault="00897580" w:rsidP="003D146E">
      <w:pPr>
        <w:pStyle w:val="Questionarie-instance"/>
        <w:keepLines/>
        <w:rPr>
          <w:rStyle w:val="Questionarie-instanceQuestion-text"/>
          <w:rFonts w:ascii="Verdana" w:eastAsia="Verdana" w:hAnsi="Verdana" w:cs="Verdana"/>
          <w:b w:val="0"/>
          <w:sz w:val="22"/>
          <w:szCs w:val="22"/>
          <w:lang w:val="en-US"/>
        </w:rPr>
      </w:pPr>
      <w:r w:rsidRPr="004C7679">
        <w:rPr>
          <w:rStyle w:val="Questionarie-instanceQuestion-text"/>
          <w:rFonts w:ascii="Verdana" w:eastAsia="Verdana" w:hAnsi="Verdana" w:cs="Verdana"/>
          <w:b w:val="0"/>
          <w:sz w:val="22"/>
          <w:szCs w:val="22"/>
          <w:lang w:val="en-US"/>
        </w:rPr>
        <w:t>A considerable number of administrations have not specified any duration</w:t>
      </w:r>
      <w:r w:rsidR="003D146E" w:rsidRPr="004C7679">
        <w:rPr>
          <w:rStyle w:val="Questionarie-instanceQuestion-text"/>
          <w:rFonts w:ascii="Verdana" w:eastAsia="Verdana" w:hAnsi="Verdana" w:cs="Verdana"/>
          <w:b w:val="0"/>
          <w:sz w:val="22"/>
          <w:szCs w:val="22"/>
          <w:lang w:val="en-US"/>
        </w:rPr>
        <w:t xml:space="preserve"> but may be in a position to revise the current regulation when needed.</w:t>
      </w:r>
    </w:p>
    <w:p w:rsidR="003D146E" w:rsidRDefault="003D146E" w:rsidP="003D146E">
      <w:pPr>
        <w:pStyle w:val="Questionarie-instance"/>
        <w:keepLines/>
        <w:rPr>
          <w:rStyle w:val="Questionarie-instanceQuestion-text"/>
          <w:rFonts w:ascii="Verdana" w:eastAsia="Verdana" w:hAnsi="Verdana" w:cs="Verdana"/>
          <w:sz w:val="18"/>
          <w:szCs w:val="18"/>
          <w:lang w:val="en-US"/>
        </w:rPr>
      </w:pPr>
    </w:p>
    <w:tbl>
      <w:tblPr>
        <w:tblStyle w:val="TableGrid"/>
        <w:tblW w:w="0" w:type="auto"/>
        <w:tblLook w:val="04A0" w:firstRow="1" w:lastRow="0" w:firstColumn="1" w:lastColumn="0" w:noHBand="0" w:noVBand="1"/>
      </w:tblPr>
      <w:tblGrid>
        <w:gridCol w:w="2943"/>
        <w:gridCol w:w="7169"/>
      </w:tblGrid>
      <w:tr w:rsidR="00897580" w:rsidTr="00897580">
        <w:tc>
          <w:tcPr>
            <w:tcW w:w="2943" w:type="dxa"/>
          </w:tcPr>
          <w:p w:rsidR="00897580" w:rsidRDefault="00897580">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Expiration date specified</w:t>
            </w:r>
          </w:p>
        </w:tc>
        <w:tc>
          <w:tcPr>
            <w:tcW w:w="7169" w:type="dxa"/>
          </w:tcPr>
          <w:p w:rsidR="00897580" w:rsidRDefault="003D146E">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France: t</w:t>
            </w:r>
            <w:r w:rsidRPr="003D146E">
              <w:rPr>
                <w:lang w:val="en-US"/>
              </w:rPr>
              <w:t>he licen</w:t>
            </w:r>
            <w:r>
              <w:rPr>
                <w:lang w:val="en-US"/>
              </w:rPr>
              <w:t>se will expire on 24 March 2019;</w:t>
            </w:r>
          </w:p>
          <w:p w:rsidR="003D146E" w:rsidRDefault="003D146E">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 xml:space="preserve">Germany: toleration, former </w:t>
            </w:r>
            <w:proofErr w:type="spellStart"/>
            <w:r>
              <w:rPr>
                <w:lang w:val="en-US"/>
              </w:rPr>
              <w:t>authori</w:t>
            </w:r>
            <w:r w:rsidR="005E2D82">
              <w:rPr>
                <w:lang w:val="en-US"/>
              </w:rPr>
              <w:t>s</w:t>
            </w:r>
            <w:r>
              <w:rPr>
                <w:lang w:val="en-US"/>
              </w:rPr>
              <w:t>ation</w:t>
            </w:r>
            <w:proofErr w:type="spellEnd"/>
            <w:r>
              <w:rPr>
                <w:lang w:val="en-US"/>
              </w:rPr>
              <w:t xml:space="preserve"> already expired</w:t>
            </w:r>
          </w:p>
          <w:p w:rsidR="003D146E" w:rsidRDefault="003D146E">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Italy: revision in 2022</w:t>
            </w:r>
          </w:p>
          <w:p w:rsidR="003D146E" w:rsidRDefault="003D146E">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Portugal: review at beginning of 2016</w:t>
            </w:r>
          </w:p>
          <w:p w:rsidR="003D146E" w:rsidRDefault="003D146E">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Romania: v</w:t>
            </w:r>
            <w:r w:rsidRPr="003D146E">
              <w:rPr>
                <w:lang w:val="en-US"/>
              </w:rPr>
              <w:t>alid until 01</w:t>
            </w:r>
            <w:r>
              <w:rPr>
                <w:lang w:val="en-US"/>
              </w:rPr>
              <w:t xml:space="preserve"> Oct. </w:t>
            </w:r>
            <w:r w:rsidRPr="003D146E">
              <w:rPr>
                <w:lang w:val="en-US"/>
              </w:rPr>
              <w:t>2017</w:t>
            </w:r>
          </w:p>
          <w:p w:rsidR="003D146E" w:rsidRDefault="003D146E">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Russian Federation: u</w:t>
            </w:r>
            <w:r w:rsidRPr="003D146E">
              <w:rPr>
                <w:lang w:val="en-US"/>
              </w:rPr>
              <w:t>ntil 02</w:t>
            </w:r>
            <w:r>
              <w:rPr>
                <w:lang w:val="en-US"/>
              </w:rPr>
              <w:t xml:space="preserve"> Oct. </w:t>
            </w:r>
            <w:r w:rsidRPr="003D146E">
              <w:rPr>
                <w:lang w:val="en-US"/>
              </w:rPr>
              <w:t>2022 for user terminals</w:t>
            </w:r>
          </w:p>
          <w:p w:rsidR="003D146E" w:rsidRDefault="003D146E">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Spain: review November 2018</w:t>
            </w:r>
          </w:p>
          <w:p w:rsidR="003D146E" w:rsidRDefault="003D146E">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 xml:space="preserve">Switzerland: </w:t>
            </w:r>
            <w:r w:rsidRPr="003D146E">
              <w:rPr>
                <w:lang w:val="en-US"/>
              </w:rPr>
              <w:t>until 31</w:t>
            </w:r>
            <w:r>
              <w:rPr>
                <w:lang w:val="en-US"/>
              </w:rPr>
              <w:t xml:space="preserve"> Dec. </w:t>
            </w:r>
            <w:r w:rsidRPr="003D146E">
              <w:rPr>
                <w:lang w:val="en-US"/>
              </w:rPr>
              <w:t>2018</w:t>
            </w:r>
          </w:p>
          <w:p w:rsidR="003D146E" w:rsidRDefault="003D146E" w:rsidP="003D146E">
            <w:pPr>
              <w:pStyle w:val="Questionarie-instance"/>
              <w:keepLines/>
              <w:pBdr>
                <w:top w:val="none" w:sz="0" w:space="0" w:color="auto"/>
                <w:left w:val="none" w:sz="0" w:space="0" w:color="auto"/>
                <w:bottom w:val="none" w:sz="0" w:space="0" w:color="auto"/>
                <w:right w:val="none" w:sz="0" w:space="0" w:color="auto"/>
              </w:pBdr>
              <w:rPr>
                <w:lang w:val="en-US"/>
              </w:rPr>
            </w:pPr>
            <w:r>
              <w:rPr>
                <w:lang w:val="en-US"/>
              </w:rPr>
              <w:t xml:space="preserve">Ukraine: </w:t>
            </w:r>
            <w:r w:rsidRPr="003D146E">
              <w:rPr>
                <w:lang w:val="en-US"/>
              </w:rPr>
              <w:t>18</w:t>
            </w:r>
            <w:r>
              <w:rPr>
                <w:lang w:val="en-US"/>
              </w:rPr>
              <w:t xml:space="preserve"> Mar. 20</w:t>
            </w:r>
            <w:r w:rsidRPr="003D146E">
              <w:rPr>
                <w:lang w:val="en-US"/>
              </w:rPr>
              <w:t>1</w:t>
            </w:r>
            <w:r>
              <w:rPr>
                <w:lang w:val="en-US"/>
              </w:rPr>
              <w:t>9</w:t>
            </w:r>
          </w:p>
        </w:tc>
      </w:tr>
    </w:tbl>
    <w:p w:rsidR="007001A7" w:rsidRDefault="007001A7">
      <w:pPr>
        <w:pStyle w:val="Questionarie-instance"/>
        <w:keepLines/>
        <w:rPr>
          <w:lang w:val="en-US"/>
        </w:rPr>
      </w:pPr>
    </w:p>
    <w:p w:rsidR="00627BDF" w:rsidRPr="00BF24FC" w:rsidRDefault="00627BDF">
      <w:pPr>
        <w:pStyle w:val="Questionarie-instance"/>
        <w:keepLines/>
        <w:rPr>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2157"/>
        <w:gridCol w:w="8040"/>
      </w:tblGrid>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3D146E" w:rsidRDefault="006205E3">
            <w:pPr>
              <w:rPr>
                <w:lang w:val="en-US"/>
              </w:rPr>
            </w:pPr>
            <w:r w:rsidRPr="003D146E">
              <w:rPr>
                <w:rFonts w:ascii="Verdana" w:eastAsia="Verdana" w:hAnsi="Verdana" w:cs="Verdana"/>
                <w:sz w:val="18"/>
                <w:szCs w:val="18"/>
                <w:lang w:val="en-US"/>
              </w:rPr>
              <w:t>Albania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5E2D82">
            <w:pPr>
              <w:rPr>
                <w:lang w:val="en-US"/>
              </w:rPr>
            </w:pPr>
            <w:proofErr w:type="gramStart"/>
            <w:r w:rsidRPr="00BF24FC">
              <w:rPr>
                <w:rFonts w:ascii="Verdana" w:eastAsia="Verdana" w:hAnsi="Verdana" w:cs="Verdana"/>
                <w:sz w:val="18"/>
                <w:szCs w:val="18"/>
                <w:lang w:val="en-US"/>
              </w:rPr>
              <w:t>see</w:t>
            </w:r>
            <w:proofErr w:type="gramEnd"/>
            <w:r w:rsidRPr="00BF24FC">
              <w:rPr>
                <w:rFonts w:ascii="Verdana" w:eastAsia="Verdana" w:hAnsi="Verdana" w:cs="Verdana"/>
                <w:sz w:val="18"/>
                <w:szCs w:val="18"/>
                <w:lang w:val="en-US"/>
              </w:rPr>
              <w:t xml:space="preserve"> answer 1. </w:t>
            </w:r>
            <w:r w:rsidRPr="00BF24FC">
              <w:rPr>
                <w:rFonts w:ascii="Verdana" w:eastAsia="Verdana" w:hAnsi="Verdana" w:cs="Verdana"/>
                <w:sz w:val="18"/>
                <w:szCs w:val="18"/>
                <w:lang w:val="en-US"/>
              </w:rPr>
              <w:br/>
              <w:t xml:space="preserve">In addition, the maximum duration of an Individual </w:t>
            </w:r>
            <w:proofErr w:type="spellStart"/>
            <w:r w:rsidRPr="00BF24FC">
              <w:rPr>
                <w:rFonts w:ascii="Verdana" w:eastAsia="Verdana" w:hAnsi="Verdana" w:cs="Verdana"/>
                <w:sz w:val="18"/>
                <w:szCs w:val="18"/>
                <w:lang w:val="en-US"/>
              </w:rPr>
              <w:t>Authori</w:t>
            </w:r>
            <w:r w:rsidR="005E2D82">
              <w:rPr>
                <w:rFonts w:ascii="Verdana" w:eastAsia="Verdana" w:hAnsi="Verdana" w:cs="Verdana"/>
                <w:sz w:val="18"/>
                <w:szCs w:val="18"/>
                <w:lang w:val="en-US"/>
              </w:rPr>
              <w:t>s</w:t>
            </w:r>
            <w:r w:rsidRPr="00BF24FC">
              <w:rPr>
                <w:rFonts w:ascii="Verdana" w:eastAsia="Verdana" w:hAnsi="Verdana" w:cs="Verdana"/>
                <w:sz w:val="18"/>
                <w:szCs w:val="18"/>
                <w:lang w:val="en-US"/>
              </w:rPr>
              <w:t>ation</w:t>
            </w:r>
            <w:proofErr w:type="spellEnd"/>
            <w:r w:rsidRPr="00BF24FC">
              <w:rPr>
                <w:rFonts w:ascii="Verdana" w:eastAsia="Verdana" w:hAnsi="Verdana" w:cs="Verdana"/>
                <w:sz w:val="18"/>
                <w:szCs w:val="18"/>
                <w:lang w:val="en-US"/>
              </w:rPr>
              <w:t xml:space="preserve"> (For the allocation and the usage of frequencies, uplink only) is 15 years.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Austria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 individual licences exist.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Belgium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License exemption without limitation concerning the duration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Bulgaria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n/a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Croatia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Answer: General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is valid for an indefinite period. </w:t>
            </w:r>
          </w:p>
        </w:tc>
      </w:tr>
      <w:tr w:rsidR="006205E3" w:rsidRPr="00424101"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Cyprus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424101">
            <w:pPr>
              <w:rPr>
                <w:lang w:val="en-US"/>
              </w:rPr>
            </w:pPr>
            <w:proofErr w:type="spellStart"/>
            <w:r>
              <w:rPr>
                <w:rFonts w:ascii="Verdana" w:eastAsia="Verdana" w:hAnsi="Verdana" w:cs="Verdana"/>
                <w:sz w:val="18"/>
                <w:szCs w:val="18"/>
                <w:lang w:val="en-US"/>
              </w:rPr>
              <w:t>n.a</w:t>
            </w:r>
            <w:proofErr w:type="spellEnd"/>
            <w:r w:rsidR="006205E3" w:rsidRPr="00424101">
              <w:rPr>
                <w:rFonts w:ascii="Verdana" w:eastAsia="Verdana" w:hAnsi="Verdana" w:cs="Verdana"/>
                <w:sz w:val="18"/>
                <w:szCs w:val="18"/>
                <w:lang w:val="en-US"/>
              </w:rPr>
              <w:t xml:space="preserv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6205E3">
            <w:pPr>
              <w:rPr>
                <w:lang w:val="en-US"/>
              </w:rPr>
            </w:pPr>
            <w:r w:rsidRPr="00424101">
              <w:rPr>
                <w:rFonts w:ascii="Verdana" w:eastAsia="Verdana" w:hAnsi="Verdana" w:cs="Verdana"/>
                <w:sz w:val="18"/>
                <w:szCs w:val="18"/>
                <w:lang w:val="en-US"/>
              </w:rPr>
              <w:t>Czech Republic</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There is no limit for duration of General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Nevertheless, General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is periodically upgraded.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sidRPr="00424101">
              <w:rPr>
                <w:rFonts w:ascii="Verdana" w:eastAsia="Verdana" w:hAnsi="Verdana" w:cs="Verdana"/>
                <w:sz w:val="18"/>
                <w:szCs w:val="18"/>
                <w:lang w:val="en-US"/>
              </w:rPr>
              <w:t>D</w:t>
            </w:r>
            <w:r>
              <w:rPr>
                <w:rFonts w:ascii="Verdana" w:eastAsia="Verdana" w:hAnsi="Verdana" w:cs="Verdana"/>
                <w:sz w:val="18"/>
                <w:szCs w:val="18"/>
              </w:rPr>
              <w:t>enmark</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n/a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Estonia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 duration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Finland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We do not </w:t>
            </w:r>
            <w:proofErr w:type="spellStart"/>
            <w:r w:rsidRPr="00BF24FC">
              <w:rPr>
                <w:rFonts w:ascii="Verdana" w:eastAsia="Verdana" w:hAnsi="Verdana" w:cs="Verdana"/>
                <w:sz w:val="18"/>
                <w:szCs w:val="18"/>
                <w:lang w:val="en-US"/>
              </w:rPr>
              <w:t>licence</w:t>
            </w:r>
            <w:proofErr w:type="spellEnd"/>
            <w:r w:rsidRPr="00BF24FC">
              <w:rPr>
                <w:rFonts w:ascii="Verdana" w:eastAsia="Verdana" w:hAnsi="Verdana" w:cs="Verdana"/>
                <w:sz w:val="18"/>
                <w:szCs w:val="18"/>
                <w:lang w:val="en-US"/>
              </w:rPr>
              <w:t xml:space="preserve"> Iridium satellites.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pPr>
              <w:rPr>
                <w:rFonts w:ascii="Verdana" w:eastAsia="Verdana" w:hAnsi="Verdana" w:cs="Verdana"/>
                <w:sz w:val="18"/>
                <w:szCs w:val="18"/>
              </w:rPr>
            </w:pPr>
            <w:r>
              <w:rPr>
                <w:rFonts w:ascii="Verdana" w:eastAsia="Verdana" w:hAnsi="Verdana" w:cs="Verdana"/>
                <w:sz w:val="18"/>
                <w:szCs w:val="18"/>
              </w:rPr>
              <w:t>France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rFonts w:ascii="Verdana" w:eastAsia="Verdana" w:hAnsi="Verdana" w:cs="Verdana"/>
                <w:sz w:val="18"/>
                <w:szCs w:val="18"/>
                <w:lang w:val="en-US"/>
              </w:rPr>
            </w:pPr>
            <w:r w:rsidRPr="006205E3">
              <w:rPr>
                <w:rFonts w:ascii="Verdana" w:eastAsia="Verdana" w:hAnsi="Verdana" w:cs="Verdana"/>
                <w:sz w:val="18"/>
                <w:szCs w:val="18"/>
                <w:lang w:val="en-US"/>
              </w:rPr>
              <w:t>The license will expire on 24 March 2019.</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Germany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Currently the operation of the Iridium terminals is not </w:t>
            </w:r>
            <w:proofErr w:type="spellStart"/>
            <w:r w:rsidRPr="00BF24FC">
              <w:rPr>
                <w:rFonts w:ascii="Verdana" w:eastAsia="Verdana" w:hAnsi="Verdana" w:cs="Verdana"/>
                <w:sz w:val="18"/>
                <w:szCs w:val="18"/>
                <w:lang w:val="en-US"/>
              </w:rPr>
              <w:t>authorised</w:t>
            </w:r>
            <w:proofErr w:type="spellEnd"/>
            <w:r w:rsidRPr="00BF24FC">
              <w:rPr>
                <w:rFonts w:ascii="Verdana" w:eastAsia="Verdana" w:hAnsi="Verdana" w:cs="Verdana"/>
                <w:sz w:val="18"/>
                <w:szCs w:val="18"/>
                <w:lang w:val="en-US"/>
              </w:rPr>
              <w:t xml:space="preserve"> but tolerated under the conditions of the expired </w:t>
            </w:r>
            <w:proofErr w:type="spellStart"/>
            <w:r w:rsidRPr="00BF24FC">
              <w:rPr>
                <w:rFonts w:ascii="Verdana" w:eastAsia="Verdana" w:hAnsi="Verdana" w:cs="Verdana"/>
                <w:sz w:val="18"/>
                <w:szCs w:val="18"/>
                <w:lang w:val="en-US"/>
              </w:rPr>
              <w:t>authorisation</w:t>
            </w:r>
            <w:proofErr w:type="spellEnd"/>
            <w:r w:rsidRPr="00BF24FC">
              <w:rPr>
                <w:rFonts w:ascii="Verdana" w:eastAsia="Verdana" w:hAnsi="Verdana" w:cs="Verdana"/>
                <w:sz w:val="18"/>
                <w:szCs w:val="18"/>
                <w:lang w:val="en-US"/>
              </w:rPr>
              <w:t xml:space="preserve"> until a decision has been taken by the </w:t>
            </w:r>
            <w:proofErr w:type="spellStart"/>
            <w:r w:rsidRPr="00BF24FC">
              <w:rPr>
                <w:rFonts w:ascii="Verdana" w:eastAsia="Verdana" w:hAnsi="Verdana" w:cs="Verdana"/>
                <w:sz w:val="18"/>
                <w:szCs w:val="18"/>
                <w:lang w:val="en-US"/>
              </w:rPr>
              <w:t>Bundesnetzagentur</w:t>
            </w:r>
            <w:proofErr w:type="spellEnd"/>
            <w:r w:rsidRPr="00BF24FC">
              <w:rPr>
                <w:rFonts w:ascii="Verdana" w:eastAsia="Verdana" w:hAnsi="Verdana" w:cs="Verdana"/>
                <w:sz w:val="18"/>
                <w:szCs w:val="18"/>
                <w:lang w:val="en-US"/>
              </w:rPr>
              <w:t xml:space="preserve"> on the endorsement of the </w:t>
            </w:r>
            <w:proofErr w:type="spellStart"/>
            <w:r w:rsidRPr="00BF24FC">
              <w:rPr>
                <w:rFonts w:ascii="Verdana" w:eastAsia="Verdana" w:hAnsi="Verdana" w:cs="Verdana"/>
                <w:sz w:val="18"/>
                <w:szCs w:val="18"/>
                <w:lang w:val="en-US"/>
              </w:rPr>
              <w:t>authorisation</w:t>
            </w:r>
            <w:proofErr w:type="spellEnd"/>
            <w:r w:rsidRPr="00BF24FC">
              <w:rPr>
                <w:rFonts w:ascii="Verdana" w:eastAsia="Verdana" w:hAnsi="Verdana" w:cs="Verdana"/>
                <w:sz w:val="18"/>
                <w:szCs w:val="18"/>
                <w:lang w:val="en-US"/>
              </w:rPr>
              <w:t xml:space="preserv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Greece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w:t>
            </w:r>
            <w:proofErr w:type="spellStart"/>
            <w:r w:rsidRPr="00BF24FC">
              <w:rPr>
                <w:rFonts w:ascii="Verdana" w:eastAsia="Verdana" w:hAnsi="Verdana" w:cs="Verdana"/>
                <w:sz w:val="18"/>
                <w:szCs w:val="18"/>
                <w:lang w:val="en-US"/>
              </w:rPr>
              <w:t>licences</w:t>
            </w:r>
            <w:proofErr w:type="spellEnd"/>
            <w:r w:rsidRPr="00BF24FC">
              <w:rPr>
                <w:rFonts w:ascii="Verdana" w:eastAsia="Verdana" w:hAnsi="Verdana" w:cs="Verdana"/>
                <w:sz w:val="18"/>
                <w:szCs w:val="18"/>
                <w:lang w:val="en-US"/>
              </w:rPr>
              <w:t xml:space="preserve"> have been issued.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Hungary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Ireland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424101">
            <w:r>
              <w:rPr>
                <w:rFonts w:ascii="Verdana" w:eastAsia="Verdana" w:hAnsi="Verdana" w:cs="Verdana"/>
                <w:sz w:val="18"/>
                <w:szCs w:val="18"/>
              </w:rPr>
              <w:t>n.a.</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E456D2">
            <w:r>
              <w:rPr>
                <w:rFonts w:ascii="Verdana" w:eastAsia="Verdana" w:hAnsi="Verdana" w:cs="Verdana"/>
                <w:sz w:val="18"/>
                <w:szCs w:val="18"/>
              </w:rPr>
              <w:t>I</w:t>
            </w:r>
            <w:r w:rsidR="00E456D2">
              <w:rPr>
                <w:rFonts w:ascii="Verdana" w:eastAsia="Verdana" w:hAnsi="Verdana" w:cs="Verdana"/>
                <w:sz w:val="18"/>
                <w:szCs w:val="18"/>
              </w:rPr>
              <w:t>taly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 duration is 20 years from 9 July 2002, so next revision will be on 2022. </w:t>
            </w:r>
          </w:p>
        </w:tc>
      </w:tr>
      <w:tr w:rsidR="006205E3" w:rsidRPr="00424101"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Latvia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424101">
            <w:pPr>
              <w:rPr>
                <w:lang w:val="en-US"/>
              </w:rPr>
            </w:pPr>
            <w:proofErr w:type="spellStart"/>
            <w:r w:rsidRPr="00424101">
              <w:rPr>
                <w:rFonts w:ascii="Verdana" w:eastAsia="Verdana" w:hAnsi="Verdana" w:cs="Verdana"/>
                <w:sz w:val="18"/>
                <w:szCs w:val="18"/>
                <w:lang w:val="en-US"/>
              </w:rPr>
              <w:t>n.</w:t>
            </w:r>
            <w:r>
              <w:rPr>
                <w:rFonts w:ascii="Verdana" w:eastAsia="Verdana" w:hAnsi="Verdana" w:cs="Verdana"/>
                <w:sz w:val="18"/>
                <w:szCs w:val="18"/>
                <w:lang w:val="en-US"/>
              </w:rPr>
              <w:t>a</w:t>
            </w:r>
            <w:proofErr w:type="spellEnd"/>
            <w:r>
              <w:rPr>
                <w:rFonts w:ascii="Verdana" w:eastAsia="Verdana" w:hAnsi="Verdana" w:cs="Verdana"/>
                <w:sz w:val="18"/>
                <w:szCs w:val="18"/>
                <w:lang w:val="en-US"/>
              </w:rPr>
              <w:t>.</w:t>
            </w:r>
            <w:r w:rsidR="006205E3" w:rsidRPr="00424101">
              <w:rPr>
                <w:rFonts w:ascii="Verdana" w:eastAsia="Verdana" w:hAnsi="Verdana" w:cs="Verdana"/>
                <w:sz w:val="18"/>
                <w:szCs w:val="18"/>
                <w:lang w:val="en-US"/>
              </w:rPr>
              <w:t xml:space="preserve"> </w:t>
            </w:r>
          </w:p>
        </w:tc>
      </w:tr>
      <w:tr w:rsidR="006205E3" w:rsidRPr="00424101"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6205E3">
            <w:pPr>
              <w:rPr>
                <w:lang w:val="en-US"/>
              </w:rPr>
            </w:pPr>
            <w:r w:rsidRPr="00424101">
              <w:rPr>
                <w:rFonts w:ascii="Verdana" w:eastAsia="Verdana" w:hAnsi="Verdana" w:cs="Verdana"/>
                <w:sz w:val="18"/>
                <w:szCs w:val="18"/>
                <w:lang w:val="en-US"/>
              </w:rPr>
              <w:t xml:space="preserve">Lithuania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6205E3">
            <w:pPr>
              <w:rPr>
                <w:lang w:val="en-US"/>
              </w:rPr>
            </w:pPr>
            <w:r w:rsidRPr="00424101">
              <w:rPr>
                <w:rFonts w:ascii="Verdana" w:eastAsia="Verdana" w:hAnsi="Verdana" w:cs="Verdana"/>
                <w:sz w:val="18"/>
                <w:szCs w:val="18"/>
                <w:lang w:val="en-US"/>
              </w:rPr>
              <w:t xml:space="preserve">No license issued. </w:t>
            </w:r>
          </w:p>
        </w:tc>
      </w:tr>
      <w:tr w:rsidR="006205E3" w:rsidRPr="00424101"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Pr>
                <w:rFonts w:ascii="Verdana" w:eastAsia="Verdana" w:hAnsi="Verdana" w:cs="Verdana"/>
                <w:sz w:val="18"/>
                <w:szCs w:val="18"/>
                <w:lang w:val="en-US"/>
              </w:rPr>
              <w:t>Montenegro</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6205E3">
            <w:pPr>
              <w:rPr>
                <w:lang w:val="en-US"/>
              </w:rPr>
            </w:pPr>
            <w:r w:rsidRPr="00424101">
              <w:rPr>
                <w:rFonts w:ascii="Verdana" w:eastAsia="Verdana" w:hAnsi="Verdana" w:cs="Verdana"/>
                <w:sz w:val="18"/>
                <w:szCs w:val="18"/>
                <w:lang w:val="en-US"/>
              </w:rPr>
              <w:t xml:space="preserve">- </w:t>
            </w:r>
          </w:p>
        </w:tc>
      </w:tr>
      <w:tr w:rsidR="006205E3" w:rsidRPr="00424101"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6205E3">
            <w:pPr>
              <w:rPr>
                <w:lang w:val="en-US"/>
              </w:rPr>
            </w:pPr>
            <w:r w:rsidRPr="00424101">
              <w:rPr>
                <w:rFonts w:ascii="Verdana" w:eastAsia="Verdana" w:hAnsi="Verdana" w:cs="Verdana"/>
                <w:sz w:val="18"/>
                <w:szCs w:val="18"/>
                <w:lang w:val="en-US"/>
              </w:rPr>
              <w:t>Netherlands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6205E3">
            <w:pPr>
              <w:rPr>
                <w:lang w:val="en-US"/>
              </w:rPr>
            </w:pPr>
            <w:proofErr w:type="spellStart"/>
            <w:r w:rsidRPr="00424101">
              <w:rPr>
                <w:rFonts w:ascii="Verdana" w:eastAsia="Verdana" w:hAnsi="Verdana" w:cs="Verdana"/>
                <w:sz w:val="18"/>
                <w:szCs w:val="18"/>
                <w:lang w:val="en-US"/>
              </w:rPr>
              <w:t>n.a</w:t>
            </w:r>
            <w:proofErr w:type="spellEnd"/>
            <w:r w:rsidRPr="00424101">
              <w:rPr>
                <w:rFonts w:ascii="Verdana" w:eastAsia="Verdana" w:hAnsi="Verdana" w:cs="Verdana"/>
                <w:sz w:val="18"/>
                <w:szCs w:val="18"/>
                <w:lang w:val="en-US"/>
              </w:rPr>
              <w:t xml:space="preserv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6205E3">
            <w:pPr>
              <w:rPr>
                <w:lang w:val="en-US"/>
              </w:rPr>
            </w:pPr>
            <w:r w:rsidRPr="00424101">
              <w:rPr>
                <w:rFonts w:ascii="Verdana" w:eastAsia="Verdana" w:hAnsi="Verdana" w:cs="Verdana"/>
                <w:sz w:val="18"/>
                <w:szCs w:val="18"/>
                <w:lang w:val="en-US"/>
              </w:rPr>
              <w:t>Norway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 regulation is revised when needed </w:t>
            </w:r>
          </w:p>
        </w:tc>
      </w:tr>
      <w:tr w:rsidR="006205E3" w:rsidRPr="00424101"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6205E3">
            <w:pPr>
              <w:rPr>
                <w:lang w:val="en-US"/>
              </w:rPr>
            </w:pPr>
            <w:r>
              <w:rPr>
                <w:rFonts w:ascii="Verdana" w:eastAsia="Verdana" w:hAnsi="Verdana" w:cs="Verdana"/>
                <w:sz w:val="18"/>
                <w:szCs w:val="18"/>
                <w:lang w:val="en-US"/>
              </w:rPr>
              <w:t>Poland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424101" w:rsidRDefault="00424101">
            <w:pPr>
              <w:rPr>
                <w:lang w:val="en-US"/>
              </w:rPr>
            </w:pPr>
            <w:proofErr w:type="spellStart"/>
            <w:r>
              <w:rPr>
                <w:rFonts w:ascii="Verdana" w:eastAsia="Verdana" w:hAnsi="Verdana" w:cs="Verdana"/>
                <w:sz w:val="18"/>
                <w:szCs w:val="18"/>
                <w:lang w:val="en-US"/>
              </w:rPr>
              <w:t>n.a</w:t>
            </w:r>
            <w:proofErr w:type="spellEnd"/>
            <w:r>
              <w:rPr>
                <w:rFonts w:ascii="Verdana" w:eastAsia="Verdana" w:hAnsi="Verdana" w:cs="Verdana"/>
                <w:sz w:val="18"/>
                <w:szCs w:val="18"/>
                <w:lang w:val="en-US"/>
              </w:rPr>
              <w:t>.</w:t>
            </w:r>
          </w:p>
        </w:tc>
      </w:tr>
      <w:tr w:rsidR="006205E3" w:rsidRPr="001D510F"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Portugal</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There is not a specific duration for this case. However, as stipulated in Decision ECC/DEC</w:t>
            </w:r>
            <w:proofErr w:type="gramStart"/>
            <w:r w:rsidRPr="00BF24FC">
              <w:rPr>
                <w:rFonts w:ascii="Verdana" w:eastAsia="Verdana" w:hAnsi="Verdana" w:cs="Verdana"/>
                <w:sz w:val="18"/>
                <w:szCs w:val="18"/>
                <w:lang w:val="en-US"/>
              </w:rPr>
              <w:t>/(</w:t>
            </w:r>
            <w:proofErr w:type="gramEnd"/>
            <w:r w:rsidRPr="00BF24FC">
              <w:rPr>
                <w:rFonts w:ascii="Verdana" w:eastAsia="Verdana" w:hAnsi="Verdana" w:cs="Verdana"/>
                <w:sz w:val="18"/>
                <w:szCs w:val="18"/>
                <w:lang w:val="en-US"/>
              </w:rPr>
              <w:t xml:space="preserve">09)02, some technical conditions allowing Iridium operation in order to offer the electronic communications services shall be reviewed before the 1st January 2016.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Romania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Valid until 01.10.2017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Russian Federation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Until 02.10.2022 for user terminals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E456D2">
            <w:r>
              <w:rPr>
                <w:rFonts w:ascii="Verdana" w:eastAsia="Verdana" w:hAnsi="Verdana" w:cs="Verdana"/>
                <w:sz w:val="18"/>
                <w:szCs w:val="18"/>
              </w:rPr>
              <w:t>S</w:t>
            </w:r>
            <w:r w:rsidR="00E456D2">
              <w:rPr>
                <w:rFonts w:ascii="Verdana" w:eastAsia="Verdana" w:hAnsi="Verdana" w:cs="Verdana"/>
                <w:sz w:val="18"/>
                <w:szCs w:val="18"/>
              </w:rPr>
              <w:t>erbia</w:t>
            </w:r>
            <w:r>
              <w:rPr>
                <w:rFonts w:ascii="Verdana" w:eastAsia="Verdana" w:hAnsi="Verdana" w:cs="Verdana"/>
                <w:sz w:val="18"/>
                <w:szCs w:val="18"/>
              </w:rPr>
              <w:t xml:space="preserve">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one has an existing license.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Slovakia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5E2D82">
            <w:pPr>
              <w:rPr>
                <w:lang w:val="en-US"/>
              </w:rPr>
            </w:pPr>
            <w:r w:rsidRPr="00BF24FC">
              <w:rPr>
                <w:rFonts w:ascii="Verdana" w:eastAsia="Verdana" w:hAnsi="Verdana" w:cs="Verdana"/>
                <w:sz w:val="18"/>
                <w:szCs w:val="18"/>
                <w:lang w:val="en-US"/>
              </w:rPr>
              <w:t xml:space="preserve">Date of next reviewing session is not specified. Validity of the General </w:t>
            </w:r>
            <w:proofErr w:type="spellStart"/>
            <w:r w:rsidRPr="00BF24FC">
              <w:rPr>
                <w:rFonts w:ascii="Verdana" w:eastAsia="Verdana" w:hAnsi="Verdana" w:cs="Verdana"/>
                <w:sz w:val="18"/>
                <w:szCs w:val="18"/>
                <w:lang w:val="en-US"/>
              </w:rPr>
              <w:t>authori</w:t>
            </w:r>
            <w:r w:rsidR="005E2D82">
              <w:rPr>
                <w:rFonts w:ascii="Verdana" w:eastAsia="Verdana" w:hAnsi="Verdana" w:cs="Verdana"/>
                <w:sz w:val="18"/>
                <w:szCs w:val="18"/>
                <w:lang w:val="en-US"/>
              </w:rPr>
              <w:t>s</w:t>
            </w:r>
            <w:r w:rsidRPr="00BF24FC">
              <w:rPr>
                <w:rFonts w:ascii="Verdana" w:eastAsia="Verdana" w:hAnsi="Verdana" w:cs="Verdana"/>
                <w:sz w:val="18"/>
                <w:szCs w:val="18"/>
                <w:lang w:val="en-US"/>
              </w:rPr>
              <w:t>ation</w:t>
            </w:r>
            <w:proofErr w:type="spellEnd"/>
            <w:r w:rsidRPr="00BF24FC">
              <w:rPr>
                <w:rFonts w:ascii="Verdana" w:eastAsia="Verdana" w:hAnsi="Verdana" w:cs="Verdana"/>
                <w:sz w:val="18"/>
                <w:szCs w:val="18"/>
                <w:lang w:val="en-US"/>
              </w:rPr>
              <w:t xml:space="preserve"> is not limited and we can to amend it any time.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Slovenia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424101">
            <w:r>
              <w:rPr>
                <w:rFonts w:ascii="Verdana" w:eastAsia="Verdana" w:hAnsi="Verdana" w:cs="Verdana"/>
                <w:sz w:val="18"/>
                <w:szCs w:val="18"/>
              </w:rPr>
              <w:t>n.a.</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Spain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 duration is 20 years and the license must be reviewed in November 2018 </w:t>
            </w:r>
          </w:p>
        </w:tc>
      </w:tr>
      <w:tr w:rsidR="00424101" w:rsidRPr="0063334D"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101" w:rsidRDefault="00424101">
            <w:pPr>
              <w:rPr>
                <w:rFonts w:ascii="Verdana" w:eastAsia="Verdana" w:hAnsi="Verdana" w:cs="Verdana"/>
                <w:sz w:val="18"/>
                <w:szCs w:val="18"/>
              </w:rPr>
            </w:pPr>
            <w:r>
              <w:rPr>
                <w:rFonts w:ascii="Verdana" w:eastAsia="Verdana" w:hAnsi="Verdana" w:cs="Verdana"/>
                <w:sz w:val="18"/>
                <w:szCs w:val="18"/>
              </w:rPr>
              <w:t>Sweden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101" w:rsidRPr="00BF24FC" w:rsidRDefault="00424101">
            <w:pPr>
              <w:rPr>
                <w:rFonts w:ascii="Verdana" w:eastAsia="Verdana" w:hAnsi="Verdana" w:cs="Verdana"/>
                <w:sz w:val="18"/>
                <w:szCs w:val="18"/>
                <w:lang w:val="en-US"/>
              </w:rPr>
            </w:pPr>
            <w:proofErr w:type="spellStart"/>
            <w:r>
              <w:rPr>
                <w:rFonts w:ascii="Verdana" w:eastAsia="Verdana" w:hAnsi="Verdana" w:cs="Verdana"/>
                <w:sz w:val="18"/>
                <w:szCs w:val="18"/>
                <w:lang w:val="en-US"/>
              </w:rPr>
              <w:t>n.a</w:t>
            </w:r>
            <w:proofErr w:type="spellEnd"/>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Switzerland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 current license has been granted until 31.12.2018 </w:t>
            </w:r>
          </w:p>
        </w:tc>
      </w:tr>
      <w:tr w:rsidR="00250420"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Default="00250420">
            <w:pPr>
              <w:rPr>
                <w:rFonts w:ascii="Verdana" w:eastAsia="Verdana" w:hAnsi="Verdana" w:cs="Verdana"/>
                <w:sz w:val="18"/>
                <w:szCs w:val="18"/>
              </w:rPr>
            </w:pPr>
            <w:r>
              <w:rPr>
                <w:rFonts w:ascii="Verdana" w:eastAsia="Verdana" w:hAnsi="Verdana" w:cs="Verdana"/>
                <w:sz w:val="18"/>
                <w:szCs w:val="18"/>
              </w:rPr>
              <w:t>Turkey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Pr="00BF24FC" w:rsidRDefault="00250420">
            <w:pPr>
              <w:rPr>
                <w:rFonts w:ascii="Verdana" w:eastAsia="Verdana" w:hAnsi="Verdana" w:cs="Verdana"/>
                <w:sz w:val="18"/>
                <w:szCs w:val="18"/>
                <w:lang w:val="en-US"/>
              </w:rPr>
            </w:pPr>
            <w:r w:rsidRPr="00250420">
              <w:rPr>
                <w:rFonts w:ascii="Verdana" w:eastAsia="Verdana" w:hAnsi="Verdana" w:cs="Verdana"/>
                <w:sz w:val="18"/>
                <w:szCs w:val="18"/>
                <w:lang w:val="en-US"/>
              </w:rPr>
              <w:t xml:space="preserve">We do not have a license for Iridium in Turkey. (Please see also the last two </w:t>
            </w:r>
            <w:r w:rsidRPr="00250420">
              <w:rPr>
                <w:rFonts w:ascii="Verdana" w:eastAsia="Verdana" w:hAnsi="Verdana" w:cs="Verdana"/>
                <w:sz w:val="18"/>
                <w:szCs w:val="18"/>
                <w:lang w:val="en-US"/>
              </w:rPr>
              <w:lastRenderedPageBreak/>
              <w:t>paragraphs of answer to the Question 1)</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Ukraine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sidRPr="00BF24FC">
              <w:rPr>
                <w:rFonts w:ascii="Verdana" w:eastAsia="Verdana" w:hAnsi="Verdana" w:cs="Verdana"/>
                <w:sz w:val="18"/>
                <w:szCs w:val="18"/>
                <w:lang w:val="en-US"/>
              </w:rPr>
              <w:t xml:space="preserve">The duration of licenses for </w:t>
            </w:r>
            <w:proofErr w:type="spellStart"/>
            <w:r w:rsidRPr="00BF24FC">
              <w:rPr>
                <w:rFonts w:ascii="Verdana" w:eastAsia="Verdana" w:hAnsi="Verdana" w:cs="Verdana"/>
                <w:sz w:val="18"/>
                <w:szCs w:val="18"/>
                <w:lang w:val="en-US"/>
              </w:rPr>
              <w:t>Irridium</w:t>
            </w:r>
            <w:proofErr w:type="spellEnd"/>
            <w:r w:rsidRPr="00BF24FC">
              <w:rPr>
                <w:rFonts w:ascii="Verdana" w:eastAsia="Verdana" w:hAnsi="Verdana" w:cs="Verdana"/>
                <w:sz w:val="18"/>
                <w:szCs w:val="18"/>
                <w:lang w:val="en-US"/>
              </w:rPr>
              <w:t xml:space="preserve"> is no less than 5 years (issued by National Commission of Ukraine on Regulation of Telecommunications and </w:t>
            </w:r>
            <w:proofErr w:type="spellStart"/>
            <w:r w:rsidRPr="00BF24FC">
              <w:rPr>
                <w:rFonts w:ascii="Verdana" w:eastAsia="Verdana" w:hAnsi="Verdana" w:cs="Verdana"/>
                <w:sz w:val="18"/>
                <w:szCs w:val="18"/>
                <w:lang w:val="en-US"/>
              </w:rPr>
              <w:t>Informatization</w:t>
            </w:r>
            <w:proofErr w:type="spellEnd"/>
            <w:r w:rsidRPr="00BF24FC">
              <w:rPr>
                <w:rFonts w:ascii="Verdana" w:eastAsia="Verdana" w:hAnsi="Verdana" w:cs="Verdana"/>
                <w:sz w:val="18"/>
                <w:szCs w:val="18"/>
                <w:lang w:val="en-US"/>
              </w:rPr>
              <w:t xml:space="preserve">). </w:t>
            </w:r>
            <w:r>
              <w:rPr>
                <w:rFonts w:ascii="Verdana" w:eastAsia="Verdana" w:hAnsi="Verdana" w:cs="Verdana"/>
                <w:sz w:val="18"/>
                <w:szCs w:val="18"/>
              </w:rPr>
              <w:t xml:space="preserve">The last license was issued in 18.03.14.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United Kingdom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424101">
            <w:r>
              <w:rPr>
                <w:rFonts w:ascii="Verdana" w:eastAsia="Verdana" w:hAnsi="Verdana" w:cs="Verdana"/>
                <w:sz w:val="18"/>
                <w:szCs w:val="18"/>
              </w:rPr>
              <w:t>n.a.</w:t>
            </w:r>
          </w:p>
        </w:tc>
      </w:tr>
    </w:tbl>
    <w:p w:rsidR="007001A7" w:rsidRDefault="007001A7">
      <w:pPr>
        <w:pStyle w:val="Questionarie-instance"/>
        <w:keepLines/>
        <w:rPr>
          <w:rFonts w:ascii="Verdana" w:eastAsia="Verdana" w:hAnsi="Verdana" w:cs="Verdana"/>
          <w:b/>
          <w:bCs/>
          <w:sz w:val="18"/>
          <w:szCs w:val="18"/>
          <w:lang w:val="en-US"/>
        </w:rPr>
      </w:pPr>
    </w:p>
    <w:p w:rsidR="00E708E3" w:rsidRDefault="00E708E3" w:rsidP="00E708E3">
      <w:pPr>
        <w:rPr>
          <w:rFonts w:ascii="Verdana" w:eastAsia="Verdana" w:hAnsi="Verdana" w:cs="Verdana"/>
          <w:b/>
          <w:bCs/>
          <w:sz w:val="18"/>
          <w:szCs w:val="18"/>
          <w:lang w:val="en-US"/>
        </w:rPr>
      </w:pPr>
    </w:p>
    <w:p w:rsidR="0001038F" w:rsidRPr="004C7679" w:rsidRDefault="00FD6D0C" w:rsidP="00E708E3">
      <w:pPr>
        <w:rPr>
          <w:rStyle w:val="Questionarie-instanceQuestion-text"/>
          <w:rFonts w:ascii="Verdana" w:eastAsia="Verdana" w:hAnsi="Verdana" w:cs="Verdana"/>
          <w:sz w:val="22"/>
          <w:szCs w:val="22"/>
          <w:lang w:val="en-US"/>
        </w:rPr>
      </w:pPr>
      <w:r w:rsidRPr="004C7679">
        <w:rPr>
          <w:rFonts w:ascii="Verdana" w:eastAsia="Verdana" w:hAnsi="Verdana" w:cs="Verdana"/>
          <w:b/>
          <w:bCs/>
          <w:sz w:val="22"/>
          <w:szCs w:val="22"/>
          <w:lang w:val="en-US"/>
        </w:rPr>
        <w:t xml:space="preserve">Question 4: </w:t>
      </w:r>
      <w:r w:rsidRPr="004C7679">
        <w:rPr>
          <w:rStyle w:val="Questionarie-instanceQuestion-text"/>
          <w:rFonts w:ascii="Verdana" w:eastAsia="Verdana" w:hAnsi="Verdana" w:cs="Verdana"/>
          <w:sz w:val="22"/>
          <w:szCs w:val="22"/>
          <w:lang w:val="en-US"/>
        </w:rPr>
        <w:t xml:space="preserve">Are there any specific conditions in the license or license exemption regulations requiring the protection of your national radio astronomy service and in </w:t>
      </w:r>
      <w:proofErr w:type="spellStart"/>
      <w:r w:rsidRPr="004C7679">
        <w:rPr>
          <w:rStyle w:val="Questionarie-instanceQuestion-text"/>
          <w:rFonts w:ascii="Verdana" w:eastAsia="Verdana" w:hAnsi="Verdana" w:cs="Verdana"/>
          <w:sz w:val="22"/>
          <w:szCs w:val="22"/>
          <w:lang w:val="en-US"/>
        </w:rPr>
        <w:t>neighbouring</w:t>
      </w:r>
      <w:proofErr w:type="spellEnd"/>
      <w:r w:rsidRPr="004C7679">
        <w:rPr>
          <w:rStyle w:val="Questionarie-instanceQuestion-text"/>
          <w:rFonts w:ascii="Verdana" w:eastAsia="Verdana" w:hAnsi="Verdana" w:cs="Verdana"/>
          <w:sz w:val="22"/>
          <w:szCs w:val="22"/>
          <w:lang w:val="en-US"/>
        </w:rPr>
        <w:t xml:space="preserve"> countries? </w:t>
      </w:r>
    </w:p>
    <w:p w:rsidR="00C41A7B" w:rsidRDefault="00C41A7B">
      <w:pPr>
        <w:pStyle w:val="Questionarie-instance"/>
        <w:keepLines/>
        <w:rPr>
          <w:lang w:val="en-US"/>
        </w:rPr>
      </w:pPr>
    </w:p>
    <w:p w:rsidR="003D146E" w:rsidRPr="00BF24FC" w:rsidRDefault="003D146E">
      <w:pPr>
        <w:pStyle w:val="Questionarie-instance"/>
        <w:keepLines/>
        <w:rPr>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2157"/>
        <w:gridCol w:w="8040"/>
      </w:tblGrid>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Albania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Not any specific conditions. </w:t>
            </w:r>
          </w:p>
        </w:tc>
      </w:tr>
      <w:tr w:rsidR="006205E3" w:rsidRPr="001D510F"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Austria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The provisions of the implemented ECC/DEC</w:t>
            </w:r>
            <w:proofErr w:type="gramStart"/>
            <w:r w:rsidRPr="00BF24FC">
              <w:rPr>
                <w:rFonts w:ascii="Verdana" w:eastAsia="Verdana" w:hAnsi="Verdana" w:cs="Verdana"/>
                <w:sz w:val="18"/>
                <w:szCs w:val="18"/>
                <w:lang w:val="en-US"/>
              </w:rPr>
              <w:t>/(</w:t>
            </w:r>
            <w:proofErr w:type="gramEnd"/>
            <w:r w:rsidRPr="00BF24FC">
              <w:rPr>
                <w:rFonts w:ascii="Verdana" w:eastAsia="Verdana" w:hAnsi="Verdana" w:cs="Verdana"/>
                <w:sz w:val="18"/>
                <w:szCs w:val="18"/>
                <w:lang w:val="en-US"/>
              </w:rPr>
              <w:t xml:space="preserve">09)02 are in force to ensure the protection of the operation of the RAS, but no additional ones.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Belgium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Bulgaria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The mobile earth stations satellite terminals shall not produce a mean EIRP density exceeding -3 dB (W/4 kHz), (mean limit) and shall not produce a peak EIRP density exceeding -15 dB (W/4 kHz), (peak limit). All other parameters are defined by the operator of the satellite electronic communications network.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Croatia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Answer: EIRP is limited according to the Radio Regulations No. 5.364 and usage of terminals has to be in line with the provisions of ECC Decision (09)02.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Cyprus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In Cyprus so far we have no radio astronomy sites.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Czech Republic</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w:t>
            </w:r>
            <w:r w:rsidRPr="00BF24FC">
              <w:rPr>
                <w:rFonts w:ascii="Verdana" w:eastAsia="Verdana" w:hAnsi="Verdana" w:cs="Verdana"/>
                <w:sz w:val="18"/>
                <w:szCs w:val="18"/>
                <w:lang w:val="en-US"/>
              </w:rPr>
              <w:br/>
              <w:t xml:space="preserve">The Czech republic is of the view that level of protection shall </w:t>
            </w:r>
            <w:r w:rsidR="00E708E3">
              <w:rPr>
                <w:rFonts w:ascii="Verdana" w:eastAsia="Verdana" w:hAnsi="Verdana" w:cs="Verdana"/>
                <w:sz w:val="18"/>
                <w:szCs w:val="18"/>
                <w:lang w:val="en-US"/>
              </w:rPr>
              <w:t xml:space="preserve">be </w:t>
            </w:r>
            <w:r w:rsidRPr="00BF24FC">
              <w:rPr>
                <w:rFonts w:ascii="Verdana" w:eastAsia="Verdana" w:hAnsi="Verdana" w:cs="Verdana"/>
                <w:sz w:val="18"/>
                <w:szCs w:val="18"/>
                <w:lang w:val="en-US"/>
              </w:rPr>
              <w:t xml:space="preserve">provided by ITU-R REC RA.769-2 and REC ITU-R RA.1513. The level of protection is also done by different category of service. While </w:t>
            </w:r>
            <w:proofErr w:type="spellStart"/>
            <w:r w:rsidRPr="00BF24FC">
              <w:rPr>
                <w:rFonts w:ascii="Verdana" w:eastAsia="Verdana" w:hAnsi="Verdana" w:cs="Verdana"/>
                <w:sz w:val="18"/>
                <w:szCs w:val="18"/>
                <w:lang w:val="en-US"/>
              </w:rPr>
              <w:t>Radioastronomy</w:t>
            </w:r>
            <w:proofErr w:type="spellEnd"/>
            <w:r w:rsidRPr="00BF24FC">
              <w:rPr>
                <w:rFonts w:ascii="Verdana" w:eastAsia="Verdana" w:hAnsi="Verdana" w:cs="Verdana"/>
                <w:sz w:val="18"/>
                <w:szCs w:val="18"/>
                <w:lang w:val="en-US"/>
              </w:rPr>
              <w:t xml:space="preserve"> service operates on category of primary service MSS operates in category of secondary service.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Denmark</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n/a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Estonia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Finland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ECC Decision (09)02 apply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pPr>
              <w:rPr>
                <w:rFonts w:ascii="Verdana" w:eastAsia="Verdana" w:hAnsi="Verdana" w:cs="Verdana"/>
                <w:sz w:val="18"/>
                <w:szCs w:val="18"/>
              </w:rPr>
            </w:pPr>
            <w:r>
              <w:rPr>
                <w:rFonts w:ascii="Verdana" w:eastAsia="Verdana" w:hAnsi="Verdana" w:cs="Verdana"/>
                <w:sz w:val="18"/>
                <w:szCs w:val="18"/>
              </w:rPr>
              <w:t>France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Specific Conditions: </w:t>
            </w:r>
          </w:p>
          <w:p w:rsidR="006205E3" w:rsidRPr="006205E3" w:rsidRDefault="006205E3" w:rsidP="006205E3">
            <w:pPr>
              <w:rPr>
                <w:rFonts w:ascii="Verdana" w:eastAsia="Verdana" w:hAnsi="Verdana" w:cs="Verdana"/>
                <w:sz w:val="18"/>
                <w:szCs w:val="18"/>
                <w:lang w:val="en-US"/>
              </w:rPr>
            </w:pPr>
            <w:proofErr w:type="spellStart"/>
            <w:r w:rsidRPr="006205E3">
              <w:rPr>
                <w:rFonts w:ascii="Verdana" w:eastAsia="Verdana" w:hAnsi="Verdana" w:cs="Verdana"/>
                <w:sz w:val="18"/>
                <w:szCs w:val="18"/>
                <w:lang w:val="en-US"/>
              </w:rPr>
              <w:t>Authori</w:t>
            </w:r>
            <w:r w:rsidR="005E2D82">
              <w:rPr>
                <w:rFonts w:ascii="Verdana" w:eastAsia="Verdana" w:hAnsi="Verdana" w:cs="Verdana"/>
                <w:sz w:val="18"/>
                <w:szCs w:val="18"/>
                <w:lang w:val="en-US"/>
              </w:rPr>
              <w:t>s</w:t>
            </w:r>
            <w:r w:rsidRPr="006205E3">
              <w:rPr>
                <w:rFonts w:ascii="Verdana" w:eastAsia="Verdana" w:hAnsi="Verdana" w:cs="Verdana"/>
                <w:sz w:val="18"/>
                <w:szCs w:val="18"/>
                <w:lang w:val="en-US"/>
              </w:rPr>
              <w:t>ed</w:t>
            </w:r>
            <w:proofErr w:type="spellEnd"/>
            <w:r w:rsidRPr="006205E3">
              <w:rPr>
                <w:rFonts w:ascii="Verdana" w:eastAsia="Verdana" w:hAnsi="Verdana" w:cs="Verdana"/>
                <w:sz w:val="18"/>
                <w:szCs w:val="18"/>
                <w:lang w:val="en-US"/>
              </w:rPr>
              <w:t xml:space="preserve"> Frequencies are used subject not to interfere with the systems operating in adjacent frequency bands </w:t>
            </w: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For emissions in the band from 1621.35 to 1626.5 MHz, the operator takes all steps to protect the uses of the </w:t>
            </w:r>
            <w:proofErr w:type="spellStart"/>
            <w:r w:rsidRPr="006205E3">
              <w:rPr>
                <w:rFonts w:ascii="Verdana" w:eastAsia="Verdana" w:hAnsi="Verdana" w:cs="Verdana"/>
                <w:sz w:val="18"/>
                <w:szCs w:val="18"/>
                <w:lang w:val="en-US"/>
              </w:rPr>
              <w:t>Radioastronomy</w:t>
            </w:r>
            <w:proofErr w:type="spellEnd"/>
            <w:r w:rsidRPr="006205E3">
              <w:rPr>
                <w:rFonts w:ascii="Verdana" w:eastAsia="Verdana" w:hAnsi="Verdana" w:cs="Verdana"/>
                <w:sz w:val="18"/>
                <w:szCs w:val="18"/>
                <w:lang w:val="en-US"/>
              </w:rPr>
              <w:t xml:space="preserve"> service in France, in accordance with the provisions of Radio Regulations. </w:t>
            </w:r>
          </w:p>
          <w:p w:rsidR="006205E3" w:rsidRPr="006205E3" w:rsidRDefault="006205E3" w:rsidP="006205E3">
            <w:pPr>
              <w:rPr>
                <w:rFonts w:ascii="Verdana" w:eastAsia="Verdana" w:hAnsi="Verdana" w:cs="Verdana"/>
                <w:sz w:val="18"/>
                <w:szCs w:val="18"/>
                <w:lang w:val="en-US"/>
              </w:rPr>
            </w:pP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Uplink: </w:t>
            </w: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So that the terminals’ emissions do not disturb the site of radio astronomy </w:t>
            </w:r>
            <w:proofErr w:type="spellStart"/>
            <w:r w:rsidRPr="006205E3">
              <w:rPr>
                <w:rFonts w:ascii="Verdana" w:eastAsia="Verdana" w:hAnsi="Verdana" w:cs="Verdana"/>
                <w:sz w:val="18"/>
                <w:szCs w:val="18"/>
                <w:lang w:val="en-US"/>
              </w:rPr>
              <w:t>Nançay</w:t>
            </w:r>
            <w:proofErr w:type="spellEnd"/>
            <w:r w:rsidRPr="006205E3">
              <w:rPr>
                <w:rFonts w:ascii="Verdana" w:eastAsia="Verdana" w:hAnsi="Verdana" w:cs="Verdana"/>
                <w:sz w:val="18"/>
                <w:szCs w:val="18"/>
                <w:lang w:val="en-US"/>
              </w:rPr>
              <w:t xml:space="preserve"> </w:t>
            </w:r>
            <w:r w:rsidRPr="006205E3">
              <w:rPr>
                <w:rFonts w:ascii="Verdana" w:eastAsia="Verdana" w:hAnsi="Verdana" w:cs="Verdana"/>
                <w:sz w:val="18"/>
                <w:szCs w:val="18"/>
                <w:lang w:val="en-US"/>
              </w:rPr>
              <w:lastRenderedPageBreak/>
              <w:t xml:space="preserve">(Cher), the operator uses the geolocation techniques to identify terminals in a 10 km radius around the site and inhibits their function. </w:t>
            </w:r>
            <w:proofErr w:type="gramStart"/>
            <w:r w:rsidRPr="006205E3">
              <w:rPr>
                <w:rFonts w:ascii="Verdana" w:eastAsia="Verdana" w:hAnsi="Verdana" w:cs="Verdana"/>
                <w:sz w:val="18"/>
                <w:szCs w:val="18"/>
                <w:lang w:val="en-US"/>
              </w:rPr>
              <w:t>in</w:t>
            </w:r>
            <w:proofErr w:type="gramEnd"/>
            <w:r w:rsidRPr="006205E3">
              <w:rPr>
                <w:rFonts w:ascii="Verdana" w:eastAsia="Verdana" w:hAnsi="Verdana" w:cs="Verdana"/>
                <w:sz w:val="18"/>
                <w:szCs w:val="18"/>
                <w:lang w:val="en-US"/>
              </w:rPr>
              <w:t xml:space="preserve"> this exclusion zone, only the transmission of emergency calls is possible. </w:t>
            </w: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Specific measures of protection will be defined in case the operator wants to provide aeronautical satellite service for public correspondence defined by the Radio Regulations. </w:t>
            </w:r>
          </w:p>
          <w:p w:rsidR="006205E3" w:rsidRPr="006205E3" w:rsidRDefault="006205E3" w:rsidP="006205E3">
            <w:pPr>
              <w:rPr>
                <w:rFonts w:ascii="Verdana" w:eastAsia="Verdana" w:hAnsi="Verdana" w:cs="Verdana"/>
                <w:sz w:val="18"/>
                <w:szCs w:val="18"/>
                <w:lang w:val="en-US"/>
              </w:rPr>
            </w:pP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Downlink: </w:t>
            </w: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The operator shall use all reasonable steps to limit the consequences of OOB emissions not to disturb the RAS site of </w:t>
            </w:r>
            <w:proofErr w:type="spellStart"/>
            <w:r w:rsidRPr="006205E3">
              <w:rPr>
                <w:rFonts w:ascii="Verdana" w:eastAsia="Verdana" w:hAnsi="Verdana" w:cs="Verdana"/>
                <w:sz w:val="18"/>
                <w:szCs w:val="18"/>
                <w:lang w:val="en-US"/>
              </w:rPr>
              <w:t>Nançay</w:t>
            </w:r>
            <w:proofErr w:type="spellEnd"/>
            <w:r w:rsidRPr="006205E3">
              <w:rPr>
                <w:rFonts w:ascii="Verdana" w:eastAsia="Verdana" w:hAnsi="Verdana" w:cs="Verdana"/>
                <w:sz w:val="18"/>
                <w:szCs w:val="18"/>
                <w:lang w:val="en-US"/>
              </w:rPr>
              <w:t xml:space="preserve">. </w:t>
            </w:r>
          </w:p>
          <w:p w:rsidR="006205E3" w:rsidRPr="006205E3" w:rsidRDefault="006205E3" w:rsidP="006205E3">
            <w:pPr>
              <w:rPr>
                <w:rFonts w:ascii="Verdana" w:eastAsia="Verdana" w:hAnsi="Verdana" w:cs="Verdana"/>
                <w:sz w:val="18"/>
                <w:szCs w:val="18"/>
                <w:lang w:val="en-US"/>
              </w:rPr>
            </w:pP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To this end, the operator shall take all technical provisions to comply with the harmful interference levels of recommendation ITU-R RA.769-1 concerning protection criteria for the </w:t>
            </w:r>
            <w:proofErr w:type="spellStart"/>
            <w:r w:rsidRPr="006205E3">
              <w:rPr>
                <w:rFonts w:ascii="Verdana" w:eastAsia="Verdana" w:hAnsi="Verdana" w:cs="Verdana"/>
                <w:sz w:val="18"/>
                <w:szCs w:val="18"/>
                <w:lang w:val="en-US"/>
              </w:rPr>
              <w:t>Radioastronomy</w:t>
            </w:r>
            <w:proofErr w:type="spellEnd"/>
            <w:r w:rsidRPr="006205E3">
              <w:rPr>
                <w:rFonts w:ascii="Verdana" w:eastAsia="Verdana" w:hAnsi="Verdana" w:cs="Verdana"/>
                <w:sz w:val="18"/>
                <w:szCs w:val="18"/>
                <w:lang w:val="en-US"/>
              </w:rPr>
              <w:t xml:space="preserve"> service. </w:t>
            </w:r>
          </w:p>
          <w:p w:rsidR="006205E3" w:rsidRPr="006205E3" w:rsidRDefault="006205E3" w:rsidP="006205E3">
            <w:pPr>
              <w:rPr>
                <w:rFonts w:ascii="Verdana" w:eastAsia="Verdana" w:hAnsi="Verdana" w:cs="Verdana"/>
                <w:sz w:val="18"/>
                <w:szCs w:val="18"/>
                <w:lang w:val="en-US"/>
              </w:rPr>
            </w:pP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Pursuant to the Framework Agreement (framework agreement between Iridium LLC and the European Science Foundation (European Science Foundation)), the operator complies with the harmful interference thresholds of ITU-R RA.769-1, permanently, after 1 January 2006. </w:t>
            </w:r>
          </w:p>
          <w:p w:rsidR="006205E3" w:rsidRPr="006205E3" w:rsidRDefault="006205E3" w:rsidP="006205E3">
            <w:pPr>
              <w:rPr>
                <w:rFonts w:ascii="Verdana" w:eastAsia="Verdana" w:hAnsi="Verdana" w:cs="Verdana"/>
                <w:sz w:val="18"/>
                <w:szCs w:val="18"/>
                <w:lang w:val="en-US"/>
              </w:rPr>
            </w:pP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Before 1 January 2006, the operator meets the harmful interference thresholds </w:t>
            </w: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fixed: </w:t>
            </w: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xml:space="preserve">• By an agreement under section 4 of the Framework Agreement; </w:t>
            </w: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 Or, in the absence of such an agreement, after adoption of a recommendation from the Milestone Review Committee (created by the decision ERC/DEC</w:t>
            </w:r>
            <w:proofErr w:type="gramStart"/>
            <w:r w:rsidRPr="006205E3">
              <w:rPr>
                <w:rFonts w:ascii="Verdana" w:eastAsia="Verdana" w:hAnsi="Verdana" w:cs="Verdana"/>
                <w:sz w:val="18"/>
                <w:szCs w:val="18"/>
                <w:lang w:val="en-US"/>
              </w:rPr>
              <w:t>/(</w:t>
            </w:r>
            <w:proofErr w:type="gramEnd"/>
            <w:r w:rsidRPr="006205E3">
              <w:rPr>
                <w:rFonts w:ascii="Verdana" w:eastAsia="Verdana" w:hAnsi="Verdana" w:cs="Verdana"/>
                <w:sz w:val="18"/>
                <w:szCs w:val="18"/>
                <w:lang w:val="en-US"/>
              </w:rPr>
              <w:t xml:space="preserve">97)03 from 30 June 1997 and the decision ECTRA/DEC(97)02 from 3 July 1997). </w:t>
            </w:r>
          </w:p>
          <w:p w:rsidR="006205E3" w:rsidRPr="006205E3" w:rsidRDefault="006205E3" w:rsidP="006205E3">
            <w:pPr>
              <w:rPr>
                <w:rFonts w:ascii="Verdana" w:eastAsia="Verdana" w:hAnsi="Verdana" w:cs="Verdana"/>
                <w:sz w:val="18"/>
                <w:szCs w:val="18"/>
                <w:lang w:val="en-US"/>
              </w:rPr>
            </w:pPr>
          </w:p>
          <w:p w:rsidR="006205E3" w:rsidRPr="00401B60" w:rsidRDefault="006205E3" w:rsidP="006205E3">
            <w:pPr>
              <w:rPr>
                <w:rFonts w:ascii="Verdana" w:eastAsia="Verdana" w:hAnsi="Verdana" w:cs="Verdana"/>
                <w:sz w:val="18"/>
                <w:szCs w:val="18"/>
                <w:lang w:val="en-US"/>
              </w:rPr>
            </w:pPr>
            <w:r w:rsidRPr="00401B60">
              <w:rPr>
                <w:rFonts w:ascii="Verdana" w:eastAsia="Verdana" w:hAnsi="Verdana" w:cs="Verdana"/>
                <w:sz w:val="18"/>
                <w:szCs w:val="18"/>
                <w:lang w:val="en-US"/>
              </w:rPr>
              <w:t xml:space="preserve">Concerning neighboring countries: </w:t>
            </w:r>
          </w:p>
          <w:p w:rsidR="006205E3" w:rsidRPr="006205E3" w:rsidRDefault="006205E3" w:rsidP="006205E3">
            <w:pPr>
              <w:rPr>
                <w:rFonts w:ascii="Verdana" w:eastAsia="Verdana" w:hAnsi="Verdana" w:cs="Verdana"/>
                <w:sz w:val="18"/>
                <w:szCs w:val="18"/>
                <w:lang w:val="en-US"/>
              </w:rPr>
            </w:pPr>
            <w:r w:rsidRPr="006205E3">
              <w:rPr>
                <w:rFonts w:ascii="Verdana" w:eastAsia="Verdana" w:hAnsi="Verdana" w:cs="Verdana"/>
                <w:sz w:val="18"/>
                <w:szCs w:val="18"/>
                <w:lang w:val="en-US"/>
              </w:rPr>
              <w:t>The operator follows the rules defined by the Convention of the ITU, the International Telecommunications Regulations, the Radio Regulations, the international agreements signed by France, and the regulations of the European Community.</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Germany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With regard to the protection of the radio astronomy service the followings rules apply: The operation of Iridium shall not cause harmful interference to the radio astronomy service in the band 1610.6-1613.8 MHz (see D372 or RR 5.372). Iridium Terminals shall not operate within a radius of 35 km around the radio observatory in </w:t>
            </w:r>
            <w:proofErr w:type="spellStart"/>
            <w:r w:rsidRPr="00BF24FC">
              <w:rPr>
                <w:rFonts w:ascii="Verdana" w:eastAsia="Verdana" w:hAnsi="Verdana" w:cs="Verdana"/>
                <w:sz w:val="18"/>
                <w:szCs w:val="18"/>
                <w:lang w:val="en-US"/>
              </w:rPr>
              <w:t>Effelsberg</w:t>
            </w:r>
            <w:proofErr w:type="spellEnd"/>
            <w:r w:rsidRPr="00BF24FC">
              <w:rPr>
                <w:rFonts w:ascii="Verdana" w:eastAsia="Verdana" w:hAnsi="Verdana" w:cs="Verdana"/>
                <w:sz w:val="18"/>
                <w:szCs w:val="18"/>
                <w:lang w:val="en-US"/>
              </w:rPr>
              <w:t xml:space="preserve">. For the use of Iridium terminals on board aircraft the </w:t>
            </w:r>
            <w:proofErr w:type="spellStart"/>
            <w:r w:rsidRPr="00BF24FC">
              <w:rPr>
                <w:rFonts w:ascii="Verdana" w:eastAsia="Verdana" w:hAnsi="Verdana" w:cs="Verdana"/>
                <w:sz w:val="18"/>
                <w:szCs w:val="18"/>
                <w:lang w:val="en-US"/>
              </w:rPr>
              <w:t>Bundesnetzagentur</w:t>
            </w:r>
            <w:proofErr w:type="spellEnd"/>
            <w:r w:rsidRPr="00BF24FC">
              <w:rPr>
                <w:rFonts w:ascii="Verdana" w:eastAsia="Verdana" w:hAnsi="Verdana" w:cs="Verdana"/>
                <w:sz w:val="18"/>
                <w:szCs w:val="18"/>
                <w:lang w:val="en-US"/>
              </w:rPr>
              <w:t xml:space="preserve"> may specify further limits. Until January 1st, 2006 the CRAF/Iridium framework agreement was a mandatory part of the </w:t>
            </w:r>
            <w:proofErr w:type="spellStart"/>
            <w:r w:rsidRPr="00BF24FC">
              <w:rPr>
                <w:rFonts w:ascii="Verdana" w:eastAsia="Verdana" w:hAnsi="Verdana" w:cs="Verdana"/>
                <w:sz w:val="18"/>
                <w:szCs w:val="18"/>
                <w:lang w:val="en-US"/>
              </w:rPr>
              <w:t>authorisation</w:t>
            </w:r>
            <w:proofErr w:type="spellEnd"/>
            <w:r w:rsidRPr="00BF24FC">
              <w:rPr>
                <w:rFonts w:ascii="Verdana" w:eastAsia="Verdana" w:hAnsi="Verdana" w:cs="Verdana"/>
                <w:sz w:val="18"/>
                <w:szCs w:val="18"/>
                <w:lang w:val="en-US"/>
              </w:rPr>
              <w:t xml:space="preserv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Greece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Hungary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such specific condition exists.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Ireland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N/A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E456D2">
            <w:r>
              <w:rPr>
                <w:rFonts w:ascii="Verdana" w:eastAsia="Verdana" w:hAnsi="Verdana" w:cs="Verdana"/>
                <w:sz w:val="18"/>
                <w:szCs w:val="18"/>
              </w:rPr>
              <w:t>I</w:t>
            </w:r>
            <w:r w:rsidR="00E456D2">
              <w:rPr>
                <w:rFonts w:ascii="Verdana" w:eastAsia="Verdana" w:hAnsi="Verdana" w:cs="Verdana"/>
                <w:sz w:val="18"/>
                <w:szCs w:val="18"/>
              </w:rPr>
              <w:t>taly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interference in the band 1617,775 – 1618,25 MHz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Latvia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 But in the relevant law is defined </w:t>
            </w:r>
            <w:proofErr w:type="spellStart"/>
            <w:r w:rsidRPr="00BF24FC">
              <w:rPr>
                <w:rFonts w:ascii="Verdana" w:eastAsia="Verdana" w:hAnsi="Verdana" w:cs="Verdana"/>
                <w:sz w:val="18"/>
                <w:szCs w:val="18"/>
                <w:lang w:val="en-US"/>
              </w:rPr>
              <w:t>radioemission</w:t>
            </w:r>
            <w:proofErr w:type="spellEnd"/>
            <w:r w:rsidRPr="00BF24FC">
              <w:rPr>
                <w:rFonts w:ascii="Verdana" w:eastAsia="Verdana" w:hAnsi="Verdana" w:cs="Verdana"/>
                <w:sz w:val="18"/>
                <w:szCs w:val="18"/>
                <w:lang w:val="en-US"/>
              </w:rPr>
              <w:t xml:space="preserve"> silence zone – 8 km radius from RA station.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Lithuania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Currently there are no special conditions requiring the protection of radio astronomy service.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Pr>
                <w:rFonts w:ascii="Verdana" w:eastAsia="Verdana" w:hAnsi="Verdana" w:cs="Verdana"/>
                <w:sz w:val="18"/>
                <w:szCs w:val="18"/>
                <w:lang w:val="en-US"/>
              </w:rPr>
              <w:lastRenderedPageBreak/>
              <w:t>Montenegro</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Yes, the conditions are in line with ECC Decision (09)02 </w:t>
            </w:r>
          </w:p>
        </w:tc>
      </w:tr>
      <w:tr w:rsidR="006205E3" w:rsidRPr="001D510F"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Netherlands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Not applicable since there is no licensing requirement for satellites. However the NL administration does follow the procedures and regulations of the ITU RR </w:t>
            </w:r>
            <w:r w:rsidR="00E53D7E">
              <w:rPr>
                <w:rFonts w:ascii="Verdana" w:eastAsia="Verdana" w:hAnsi="Verdana" w:cs="Verdana"/>
                <w:sz w:val="18"/>
                <w:szCs w:val="18"/>
                <w:lang w:val="en-US"/>
              </w:rPr>
              <w:t xml:space="preserve">towards </w:t>
            </w:r>
            <w:r w:rsidRPr="00BF24FC">
              <w:rPr>
                <w:rFonts w:ascii="Verdana" w:eastAsia="Verdana" w:hAnsi="Verdana" w:cs="Verdana"/>
                <w:sz w:val="18"/>
                <w:szCs w:val="18"/>
                <w:lang w:val="en-US"/>
              </w:rPr>
              <w:t xml:space="preserve">full protection of Radio Astronomy Services in conformity with the ITU RR. </w:t>
            </w:r>
            <w:r w:rsidR="00E53D7E">
              <w:rPr>
                <w:rFonts w:ascii="Verdana" w:eastAsia="Verdana" w:hAnsi="Verdana" w:cs="Verdana"/>
                <w:sz w:val="18"/>
                <w:szCs w:val="18"/>
                <w:lang w:val="en-US"/>
              </w:rPr>
              <w:t xml:space="preserve">After implementing the relevant ECC decisions, the NL administration will follow </w:t>
            </w:r>
            <w:proofErr w:type="gramStart"/>
            <w:r w:rsidR="00E53D7E">
              <w:rPr>
                <w:rFonts w:ascii="Verdana" w:eastAsia="Verdana" w:hAnsi="Verdana" w:cs="Verdana"/>
                <w:sz w:val="18"/>
                <w:szCs w:val="18"/>
                <w:lang w:val="en-US"/>
              </w:rPr>
              <w:t>the decides</w:t>
            </w:r>
            <w:proofErr w:type="gramEnd"/>
            <w:r w:rsidR="00E53D7E">
              <w:rPr>
                <w:rFonts w:ascii="Verdana" w:eastAsia="Verdana" w:hAnsi="Verdana" w:cs="Verdana"/>
                <w:sz w:val="18"/>
                <w:szCs w:val="18"/>
                <w:lang w:val="en-US"/>
              </w:rPr>
              <w:t xml:space="preserve"> as given by such decisions.</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Norway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lang w:val="en-US"/>
              </w:rPr>
              <w:t>Poland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Conditions given in the definition of the sub-class 14 shall be met </w:t>
            </w:r>
          </w:p>
        </w:tc>
      </w:tr>
      <w:tr w:rsidR="006205E3" w:rsidRPr="001D510F"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Portugal</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Yes. The Iridium’s provision of service and the related frequency use shall not cause harmful interference (the level of interference shall not be greater than -238 </w:t>
            </w:r>
            <w:proofErr w:type="gramStart"/>
            <w:r w:rsidRPr="00BF24FC">
              <w:rPr>
                <w:rFonts w:ascii="Verdana" w:eastAsia="Verdana" w:hAnsi="Verdana" w:cs="Verdana"/>
                <w:sz w:val="18"/>
                <w:szCs w:val="18"/>
                <w:lang w:val="en-US"/>
              </w:rPr>
              <w:t>dB(</w:t>
            </w:r>
            <w:proofErr w:type="gramEnd"/>
            <w:r w:rsidRPr="00BF24FC">
              <w:rPr>
                <w:rFonts w:ascii="Verdana" w:eastAsia="Verdana" w:hAnsi="Verdana" w:cs="Verdana"/>
                <w:sz w:val="18"/>
                <w:szCs w:val="18"/>
                <w:lang w:val="en-US"/>
              </w:rPr>
              <w:t xml:space="preserve">W/m2/Hz)) to the Radio Astronomy Service in the 1610.6-1613.8 MHz frequency band.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Romania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Only the provisions for RAS according to ECC Decision (09)02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Russian Federation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Operation of MSS user terminals in the frequency band 1621.35-1626.5 MHz shall not cause harmful interference to stations operating according Russian National Table of Frequency Allocations (including RAS stations in the frequency band 1610.6-1613.8 MHz)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E456D2">
            <w:r>
              <w:rPr>
                <w:rFonts w:ascii="Verdana" w:eastAsia="Verdana" w:hAnsi="Verdana" w:cs="Verdana"/>
                <w:sz w:val="18"/>
                <w:szCs w:val="18"/>
              </w:rPr>
              <w:t>S</w:t>
            </w:r>
            <w:r w:rsidR="00E456D2">
              <w:rPr>
                <w:rFonts w:ascii="Verdana" w:eastAsia="Verdana" w:hAnsi="Verdana" w:cs="Verdana"/>
                <w:sz w:val="18"/>
                <w:szCs w:val="18"/>
              </w:rPr>
              <w:t>erbia</w:t>
            </w:r>
            <w:r>
              <w:rPr>
                <w:rFonts w:ascii="Verdana" w:eastAsia="Verdana" w:hAnsi="Verdana" w:cs="Verdana"/>
                <w:sz w:val="18"/>
                <w:szCs w:val="18"/>
              </w:rPr>
              <w:t xml:space="preserve">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Specific conditions will be taken from Recommendations ITU-R RA.769-2 and ITU-R RA. 1513 </w:t>
            </w:r>
          </w:p>
        </w:tc>
      </w:tr>
      <w:tr w:rsidR="006205E3" w:rsidRPr="001D510F"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Slovakia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5E2D82">
            <w:pPr>
              <w:rPr>
                <w:lang w:val="en-US"/>
              </w:rPr>
            </w:pPr>
            <w:r w:rsidRPr="00BF24FC">
              <w:rPr>
                <w:rFonts w:ascii="Verdana" w:eastAsia="Verdana" w:hAnsi="Verdana" w:cs="Verdana"/>
                <w:sz w:val="18"/>
                <w:szCs w:val="18"/>
                <w:lang w:val="en-US"/>
              </w:rPr>
              <w:t xml:space="preserve">Yes, General </w:t>
            </w:r>
            <w:proofErr w:type="spellStart"/>
            <w:r w:rsidRPr="00BF24FC">
              <w:rPr>
                <w:rFonts w:ascii="Verdana" w:eastAsia="Verdana" w:hAnsi="Verdana" w:cs="Verdana"/>
                <w:sz w:val="18"/>
                <w:szCs w:val="18"/>
                <w:lang w:val="en-US"/>
              </w:rPr>
              <w:t>authori</w:t>
            </w:r>
            <w:r w:rsidR="005E2D82">
              <w:rPr>
                <w:rFonts w:ascii="Verdana" w:eastAsia="Verdana" w:hAnsi="Verdana" w:cs="Verdana"/>
                <w:sz w:val="18"/>
                <w:szCs w:val="18"/>
                <w:lang w:val="en-US"/>
              </w:rPr>
              <w:t>s</w:t>
            </w:r>
            <w:r w:rsidRPr="00BF24FC">
              <w:rPr>
                <w:rFonts w:ascii="Verdana" w:eastAsia="Verdana" w:hAnsi="Verdana" w:cs="Verdana"/>
                <w:sz w:val="18"/>
                <w:szCs w:val="18"/>
                <w:lang w:val="en-US"/>
              </w:rPr>
              <w:t>ation</w:t>
            </w:r>
            <w:proofErr w:type="spellEnd"/>
            <w:r w:rsidRPr="00BF24FC">
              <w:rPr>
                <w:rFonts w:ascii="Verdana" w:eastAsia="Verdana" w:hAnsi="Verdana" w:cs="Verdana"/>
                <w:sz w:val="18"/>
                <w:szCs w:val="18"/>
                <w:lang w:val="en-US"/>
              </w:rPr>
              <w:t xml:space="preserve"> No. VPR 03/2014 for radio equipment’s of Satellite Service includes following requirement: “Radio devices operating in frequency band 1610</w:t>
            </w:r>
            <w:proofErr w:type="gramStart"/>
            <w:r w:rsidRPr="00BF24FC">
              <w:rPr>
                <w:rFonts w:ascii="Verdana" w:eastAsia="Verdana" w:hAnsi="Verdana" w:cs="Verdana"/>
                <w:sz w:val="18"/>
                <w:szCs w:val="18"/>
                <w:lang w:val="en-US"/>
              </w:rPr>
              <w:t>,6</w:t>
            </w:r>
            <w:proofErr w:type="gramEnd"/>
            <w:r w:rsidRPr="00BF24FC">
              <w:rPr>
                <w:rFonts w:ascii="Verdana" w:eastAsia="Verdana" w:hAnsi="Verdana" w:cs="Verdana"/>
                <w:sz w:val="18"/>
                <w:szCs w:val="18"/>
                <w:lang w:val="en-US"/>
              </w:rPr>
              <w:t xml:space="preserve"> – 1613,8 MHz cannot cause harmful interference to radio astronomy service stations”.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Slovenia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 </w:t>
            </w:r>
          </w:p>
        </w:tc>
      </w:tr>
      <w:tr w:rsidR="006205E3" w:rsidRPr="002210C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Spain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366D" w:rsidRDefault="006205E3">
            <w:pPr>
              <w:rPr>
                <w:rFonts w:ascii="Verdana" w:eastAsia="Verdana" w:hAnsi="Verdana" w:cs="Verdana"/>
                <w:sz w:val="18"/>
                <w:szCs w:val="18"/>
                <w:lang w:val="en-US"/>
              </w:rPr>
            </w:pPr>
            <w:r w:rsidRPr="00BF24FC">
              <w:rPr>
                <w:rFonts w:ascii="Verdana" w:eastAsia="Verdana" w:hAnsi="Verdana" w:cs="Verdana"/>
                <w:sz w:val="18"/>
                <w:szCs w:val="18"/>
                <w:lang w:val="en-US"/>
              </w:rPr>
              <w:t xml:space="preserve">Yes, please find this specific conditions for use in the attached information below </w:t>
            </w:r>
            <w:bookmarkStart w:id="1" w:name="_MON_1481960938"/>
            <w:bookmarkEnd w:id="1"/>
            <w:r w:rsidR="0042366D">
              <w:rPr>
                <w:rFonts w:ascii="Verdana" w:eastAsia="Verdana" w:hAnsi="Verdana" w:cs="Verdana"/>
                <w:sz w:val="18"/>
                <w:szCs w:val="18"/>
                <w:lang w:val="en-U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7" o:title=""/>
                </v:shape>
                <o:OLEObject Type="Embed" ProgID="Word.Document.8" ShapeID="_x0000_i1025" DrawAspect="Icon" ObjectID="_1532851798" r:id="rId8">
                  <o:FieldCodes>\s</o:FieldCodes>
                </o:OLEObject>
              </w:object>
            </w:r>
          </w:p>
          <w:p w:rsidR="006205E3" w:rsidRPr="00BF24FC" w:rsidRDefault="006205E3">
            <w:pPr>
              <w:rPr>
                <w:lang w:val="en-US"/>
              </w:rPr>
            </w:pPr>
            <w:r w:rsidRPr="00BF24FC">
              <w:rPr>
                <w:rFonts w:ascii="Verdana" w:eastAsia="Verdana" w:hAnsi="Verdana" w:cs="Verdana"/>
                <w:sz w:val="18"/>
                <w:szCs w:val="18"/>
                <w:lang w:val="en-US"/>
              </w:rPr>
              <w:t xml:space="preserve">(only in Spanish) </w:t>
            </w:r>
          </w:p>
        </w:tc>
      </w:tr>
      <w:tr w:rsidR="00424101"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101" w:rsidRDefault="00424101">
            <w:pPr>
              <w:rPr>
                <w:rFonts w:ascii="Verdana" w:eastAsia="Verdana" w:hAnsi="Verdana" w:cs="Verdana"/>
                <w:sz w:val="18"/>
                <w:szCs w:val="18"/>
              </w:rPr>
            </w:pPr>
            <w:r>
              <w:rPr>
                <w:rFonts w:ascii="Verdana" w:eastAsia="Verdana" w:hAnsi="Verdana" w:cs="Verdana"/>
                <w:sz w:val="18"/>
                <w:szCs w:val="18"/>
              </w:rPr>
              <w:t>Sweden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101" w:rsidRPr="00424101"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t xml:space="preserve">The specific conditions for protection of RAS are: </w:t>
            </w:r>
          </w:p>
          <w:p w:rsidR="00424101" w:rsidRPr="00424101"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t xml:space="preserve">• Limitation of the bandwidth for the Satellite terminals that operate downlink within 1613,8-1626,5 </w:t>
            </w:r>
          </w:p>
          <w:p w:rsidR="00424101" w:rsidRPr="00424101"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t xml:space="preserve">• Explicit requirement that the uplinks shall not interfere with the national RAS site of </w:t>
            </w:r>
            <w:proofErr w:type="spellStart"/>
            <w:r w:rsidRPr="00424101">
              <w:rPr>
                <w:rFonts w:ascii="Verdana" w:eastAsia="Verdana" w:hAnsi="Verdana" w:cs="Verdana"/>
                <w:sz w:val="18"/>
                <w:szCs w:val="18"/>
                <w:lang w:val="en-US"/>
              </w:rPr>
              <w:t>Onsala</w:t>
            </w:r>
            <w:proofErr w:type="spellEnd"/>
            <w:r w:rsidRPr="00424101">
              <w:rPr>
                <w:rFonts w:ascii="Verdana" w:eastAsia="Verdana" w:hAnsi="Verdana" w:cs="Verdana"/>
                <w:sz w:val="18"/>
                <w:szCs w:val="18"/>
                <w:lang w:val="en-US"/>
              </w:rPr>
              <w:t xml:space="preserve">. </w:t>
            </w:r>
          </w:p>
          <w:p w:rsidR="00424101" w:rsidRPr="00424101" w:rsidRDefault="00424101" w:rsidP="00424101">
            <w:pPr>
              <w:rPr>
                <w:rFonts w:ascii="Verdana" w:eastAsia="Verdana" w:hAnsi="Verdana" w:cs="Verdana"/>
                <w:sz w:val="18"/>
                <w:szCs w:val="18"/>
                <w:lang w:val="en-US"/>
              </w:rPr>
            </w:pPr>
          </w:p>
          <w:p w:rsidR="00424101" w:rsidRPr="00424101" w:rsidRDefault="00424101" w:rsidP="00424101">
            <w:pPr>
              <w:rPr>
                <w:rFonts w:ascii="Verdana" w:eastAsia="Verdana" w:hAnsi="Verdana" w:cs="Verdana"/>
                <w:sz w:val="18"/>
                <w:szCs w:val="18"/>
                <w:lang w:val="en-US"/>
              </w:rPr>
            </w:pPr>
          </w:p>
          <w:p w:rsidR="00424101" w:rsidRPr="00424101"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t xml:space="preserve">Below, for reference, is a transcript of the license exemption directive in question: </w:t>
            </w:r>
          </w:p>
          <w:p w:rsidR="00424101" w:rsidRPr="00424101"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t xml:space="preserve">Satellite terminals that operate downlink within 1613,8-1626,5 MHz (e.g. Iridium) are subject to following license exemption conditions: </w:t>
            </w:r>
          </w:p>
          <w:p w:rsidR="00424101" w:rsidRPr="00424101"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t xml:space="preserve">• Satellite terminal are allowed to transmit within 1621,35-1626,5 MHz </w:t>
            </w:r>
          </w:p>
          <w:p w:rsidR="00424101" w:rsidRPr="00424101"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t xml:space="preserve">• Satellite terminal must be included in the notified satellite network with which communication is taking place. </w:t>
            </w:r>
          </w:p>
          <w:p w:rsidR="00424101" w:rsidRPr="00424101" w:rsidRDefault="00424101" w:rsidP="00424101">
            <w:pPr>
              <w:rPr>
                <w:rFonts w:ascii="Verdana" w:eastAsia="Verdana" w:hAnsi="Verdana" w:cs="Verdana"/>
                <w:sz w:val="18"/>
                <w:szCs w:val="18"/>
                <w:lang w:val="en-US"/>
              </w:rPr>
            </w:pPr>
            <w:r w:rsidRPr="00424101">
              <w:rPr>
                <w:rFonts w:ascii="Verdana" w:eastAsia="Verdana" w:hAnsi="Verdana" w:cs="Verdana"/>
                <w:sz w:val="18"/>
                <w:szCs w:val="18"/>
                <w:lang w:val="en-US"/>
              </w:rPr>
              <w:lastRenderedPageBreak/>
              <w:t xml:space="preserve">• RAS site of </w:t>
            </w:r>
            <w:proofErr w:type="spellStart"/>
            <w:r w:rsidRPr="00424101">
              <w:rPr>
                <w:rFonts w:ascii="Verdana" w:eastAsia="Verdana" w:hAnsi="Verdana" w:cs="Verdana"/>
                <w:sz w:val="18"/>
                <w:szCs w:val="18"/>
                <w:lang w:val="en-US"/>
              </w:rPr>
              <w:t>Onsala</w:t>
            </w:r>
            <w:proofErr w:type="spellEnd"/>
            <w:r w:rsidRPr="00424101">
              <w:rPr>
                <w:rFonts w:ascii="Verdana" w:eastAsia="Verdana" w:hAnsi="Verdana" w:cs="Verdana"/>
                <w:sz w:val="18"/>
                <w:szCs w:val="18"/>
                <w:lang w:val="en-US"/>
              </w:rPr>
              <w:t xml:space="preserve"> shall not be cause harmful interference in 1610</w:t>
            </w:r>
            <w:proofErr w:type="gramStart"/>
            <w:r w:rsidRPr="00424101">
              <w:rPr>
                <w:rFonts w:ascii="Verdana" w:eastAsia="Verdana" w:hAnsi="Verdana" w:cs="Verdana"/>
                <w:sz w:val="18"/>
                <w:szCs w:val="18"/>
                <w:lang w:val="en-US"/>
              </w:rPr>
              <w:t>,6</w:t>
            </w:r>
            <w:proofErr w:type="gramEnd"/>
            <w:r w:rsidRPr="00424101">
              <w:rPr>
                <w:rFonts w:ascii="Verdana" w:eastAsia="Verdana" w:hAnsi="Verdana" w:cs="Verdana"/>
                <w:sz w:val="18"/>
                <w:szCs w:val="18"/>
                <w:lang w:val="en-US"/>
              </w:rPr>
              <w:t xml:space="preserve">-1613,8 </w:t>
            </w:r>
            <w:proofErr w:type="spellStart"/>
            <w:r w:rsidRPr="00424101">
              <w:rPr>
                <w:rFonts w:ascii="Verdana" w:eastAsia="Verdana" w:hAnsi="Verdana" w:cs="Verdana"/>
                <w:sz w:val="18"/>
                <w:szCs w:val="18"/>
                <w:lang w:val="en-US"/>
              </w:rPr>
              <w:t>MHz.</w:t>
            </w:r>
            <w:proofErr w:type="spellEnd"/>
            <w:r w:rsidRPr="00424101">
              <w:rPr>
                <w:rFonts w:ascii="Verdana" w:eastAsia="Verdana" w:hAnsi="Verdana" w:cs="Verdana"/>
                <w:sz w:val="18"/>
                <w:szCs w:val="18"/>
                <w:lang w:val="en-US"/>
              </w:rPr>
              <w:t xml:space="preserve"> </w:t>
            </w:r>
          </w:p>
          <w:p w:rsidR="00424101" w:rsidRPr="00424101" w:rsidRDefault="00424101" w:rsidP="00424101">
            <w:pPr>
              <w:rPr>
                <w:rFonts w:ascii="Verdana" w:eastAsia="Verdana" w:hAnsi="Verdana" w:cs="Verdana"/>
                <w:sz w:val="18"/>
                <w:szCs w:val="18"/>
                <w:lang w:val="en-US"/>
              </w:rPr>
            </w:pPr>
          </w:p>
          <w:p w:rsidR="00C2002D" w:rsidRPr="00C2002D" w:rsidRDefault="00C2002D" w:rsidP="00C2002D">
            <w:pPr>
              <w:rPr>
                <w:rFonts w:ascii="Verdana" w:eastAsia="Verdana" w:hAnsi="Verdana" w:cs="Verdana"/>
                <w:sz w:val="18"/>
                <w:szCs w:val="18"/>
                <w:lang w:val="en-US"/>
              </w:rPr>
            </w:pPr>
            <w:r w:rsidRPr="00C2002D">
              <w:rPr>
                <w:rFonts w:ascii="Verdana" w:eastAsia="Verdana" w:hAnsi="Verdana" w:cs="Verdana"/>
                <w:sz w:val="18"/>
                <w:szCs w:val="18"/>
                <w:lang w:val="en-US"/>
              </w:rPr>
              <w:t xml:space="preserve">Please note that the text above is non-binding transcript of §118 of the official license exemption directive (Current version is </w:t>
            </w:r>
            <w:hyperlink r:id="rId9" w:history="1">
              <w:r w:rsidRPr="00C2002D">
                <w:rPr>
                  <w:rStyle w:val="Hyperlink"/>
                  <w:rFonts w:ascii="Verdana" w:eastAsia="Verdana" w:hAnsi="Verdana" w:cs="Verdana"/>
                  <w:sz w:val="18"/>
                  <w:szCs w:val="18"/>
                  <w:lang w:val="en-US"/>
                </w:rPr>
                <w:t>http://www.pts.se/sv/Dokument/Foreskrifter/Spektrum/Post--och-telestyrelsens-foreskrifter-om-undantag-fran-tillstandsplikt-for-anvandning-av-vissa-radiosandare</w:t>
              </w:r>
            </w:hyperlink>
            <w:r w:rsidRPr="00C2002D">
              <w:rPr>
                <w:rFonts w:ascii="Verdana" w:eastAsia="Verdana" w:hAnsi="Verdana" w:cs="Verdana"/>
                <w:sz w:val="18"/>
                <w:szCs w:val="18"/>
                <w:lang w:val="en-US"/>
              </w:rPr>
              <w:t>).</w:t>
            </w:r>
          </w:p>
          <w:p w:rsidR="00424101" w:rsidRPr="00BF24FC" w:rsidRDefault="00424101" w:rsidP="00424101">
            <w:pPr>
              <w:rPr>
                <w:rFonts w:ascii="Verdana" w:eastAsia="Verdana" w:hAnsi="Verdana" w:cs="Verdana"/>
                <w:sz w:val="18"/>
                <w:szCs w:val="18"/>
                <w:lang w:val="en-US"/>
              </w:rPr>
            </w:pPr>
          </w:p>
        </w:tc>
      </w:tr>
      <w:tr w:rsidR="006205E3" w:rsidRPr="001D510F"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Switzerland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FA7622" w:rsidRDefault="00C2002D">
            <w:pPr>
              <w:rPr>
                <w:rFonts w:ascii="Verdana" w:eastAsia="Verdana" w:hAnsi="Verdana" w:cs="Verdana"/>
                <w:sz w:val="18"/>
                <w:szCs w:val="18"/>
                <w:lang w:val="en-US"/>
              </w:rPr>
            </w:pPr>
            <w:r w:rsidRPr="00C2002D">
              <w:rPr>
                <w:rFonts w:ascii="Verdana" w:eastAsia="Verdana" w:hAnsi="Verdana" w:cs="Verdana"/>
                <w:sz w:val="18"/>
                <w:szCs w:val="18"/>
                <w:lang w:val="en-US"/>
              </w:rPr>
              <w:t>Yes, Radio Interface (RIR0808-06) from OFCOM</w:t>
            </w:r>
            <w:r w:rsidR="00902107">
              <w:rPr>
                <w:rFonts w:ascii="Verdana" w:eastAsia="Verdana" w:hAnsi="Verdana" w:cs="Verdana"/>
                <w:sz w:val="18"/>
                <w:szCs w:val="18"/>
                <w:lang w:val="en-US"/>
              </w:rPr>
              <w:t xml:space="preserve"> </w:t>
            </w:r>
            <w:proofErr w:type="gramStart"/>
            <w:r w:rsidR="00902107">
              <w:rPr>
                <w:rFonts w:ascii="Verdana" w:eastAsia="Verdana" w:hAnsi="Verdana" w:cs="Verdana"/>
                <w:sz w:val="18"/>
                <w:szCs w:val="18"/>
                <w:lang w:val="en-US"/>
              </w:rPr>
              <w:t>Switzerland</w:t>
            </w:r>
            <w:r w:rsidRPr="00C2002D">
              <w:rPr>
                <w:rFonts w:ascii="Verdana" w:eastAsia="Verdana" w:hAnsi="Verdana" w:cs="Verdana"/>
                <w:sz w:val="18"/>
                <w:szCs w:val="18"/>
                <w:lang w:val="en-US"/>
              </w:rPr>
              <w:t xml:space="preserve">  </w:t>
            </w:r>
            <w:proofErr w:type="gramEnd"/>
            <w:r w:rsidRPr="00C2002D">
              <w:rPr>
                <w:rFonts w:ascii="Verdana" w:eastAsia="Verdana" w:hAnsi="Verdana" w:cs="Verdana"/>
                <w:sz w:val="18"/>
                <w:szCs w:val="18"/>
                <w:lang w:val="en"/>
              </w:rPr>
              <w:fldChar w:fldCharType="begin"/>
            </w:r>
            <w:r w:rsidRPr="00C2002D">
              <w:rPr>
                <w:rFonts w:ascii="Verdana" w:eastAsia="Verdana" w:hAnsi="Verdana" w:cs="Verdana"/>
                <w:sz w:val="18"/>
                <w:szCs w:val="18"/>
                <w:lang w:val="en"/>
              </w:rPr>
              <w:instrText xml:space="preserve"> HYPERLINK "http://www.ofcomnet.ch/cgi-bin/rir.pl?id=0808;nb=06" </w:instrText>
            </w:r>
            <w:r w:rsidRPr="00C2002D">
              <w:rPr>
                <w:rFonts w:ascii="Verdana" w:eastAsia="Verdana" w:hAnsi="Verdana" w:cs="Verdana"/>
                <w:sz w:val="18"/>
                <w:szCs w:val="18"/>
                <w:lang w:val="en"/>
              </w:rPr>
              <w:fldChar w:fldCharType="separate"/>
            </w:r>
            <w:r w:rsidRPr="00C2002D">
              <w:rPr>
                <w:rStyle w:val="Hyperlink"/>
                <w:rFonts w:ascii="Verdana" w:eastAsia="Verdana" w:hAnsi="Verdana" w:cs="Verdana"/>
                <w:sz w:val="18"/>
                <w:szCs w:val="18"/>
                <w:lang w:val="en-US"/>
              </w:rPr>
              <w:t>http://www.ofcomnet.ch/cgi-bin/rir.pl?id=0808;nb=06</w:t>
            </w:r>
            <w:r w:rsidRPr="00C2002D">
              <w:rPr>
                <w:rFonts w:ascii="Verdana" w:eastAsia="Verdana" w:hAnsi="Verdana" w:cs="Verdana"/>
                <w:sz w:val="18"/>
                <w:szCs w:val="18"/>
                <w:lang w:val="en-US"/>
              </w:rPr>
              <w:fldChar w:fldCharType="end"/>
            </w:r>
            <w:r w:rsidRPr="00C2002D">
              <w:rPr>
                <w:rFonts w:ascii="Verdana" w:eastAsia="Verdana" w:hAnsi="Verdana" w:cs="Verdana"/>
                <w:sz w:val="18"/>
                <w:szCs w:val="18"/>
                <w:lang w:val="en"/>
              </w:rPr>
              <w:t xml:space="preserve"> </w:t>
            </w:r>
            <w:r w:rsidRPr="00C2002D">
              <w:rPr>
                <w:rFonts w:ascii="Verdana" w:eastAsia="Verdana" w:hAnsi="Verdana" w:cs="Verdana"/>
                <w:sz w:val="18"/>
                <w:szCs w:val="18"/>
                <w:lang w:val="en-US"/>
              </w:rPr>
              <w:t xml:space="preserve">applies under the condition that  no harmful interference is caused by the licensee services to the radio astronomy service in the band 1610.6-1613.8 </w:t>
            </w:r>
            <w:proofErr w:type="spellStart"/>
            <w:r w:rsidRPr="00C2002D">
              <w:rPr>
                <w:rFonts w:ascii="Verdana" w:eastAsia="Verdana" w:hAnsi="Verdana" w:cs="Verdana"/>
                <w:sz w:val="18"/>
                <w:szCs w:val="18"/>
                <w:lang w:val="en-US"/>
              </w:rPr>
              <w:t>MHz.</w:t>
            </w:r>
            <w:proofErr w:type="spellEnd"/>
            <w:r w:rsidRPr="00C2002D">
              <w:rPr>
                <w:rFonts w:ascii="Verdana" w:eastAsia="Verdana" w:hAnsi="Verdana" w:cs="Verdana"/>
                <w:sz w:val="18"/>
                <w:szCs w:val="18"/>
                <w:lang w:val="en-US"/>
              </w:rPr>
              <w:t xml:space="preserve"> The licensee is obliged to undertake all feasible measures for this. Protection of the radio astronomy service must comply </w:t>
            </w:r>
            <w:proofErr w:type="gramStart"/>
            <w:r w:rsidRPr="00C2002D">
              <w:rPr>
                <w:rFonts w:ascii="Verdana" w:eastAsia="Verdana" w:hAnsi="Verdana" w:cs="Verdana"/>
                <w:sz w:val="18"/>
                <w:szCs w:val="18"/>
                <w:lang w:val="en-US"/>
              </w:rPr>
              <w:t>with  RR</w:t>
            </w:r>
            <w:proofErr w:type="gramEnd"/>
            <w:r w:rsidRPr="00C2002D">
              <w:rPr>
                <w:rFonts w:ascii="Verdana" w:eastAsia="Verdana" w:hAnsi="Verdana" w:cs="Verdana"/>
                <w:sz w:val="18"/>
                <w:szCs w:val="18"/>
                <w:lang w:val="en-US"/>
              </w:rPr>
              <w:t xml:space="preserve"> S5.372. </w:t>
            </w:r>
          </w:p>
        </w:tc>
      </w:tr>
      <w:tr w:rsidR="00250420" w:rsidRPr="00250420"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Default="00250420">
            <w:pPr>
              <w:rPr>
                <w:rFonts w:ascii="Verdana" w:eastAsia="Verdana" w:hAnsi="Verdana" w:cs="Verdana"/>
                <w:sz w:val="18"/>
                <w:szCs w:val="18"/>
              </w:rPr>
            </w:pPr>
            <w:r>
              <w:rPr>
                <w:rFonts w:ascii="Verdana" w:eastAsia="Verdana" w:hAnsi="Verdana" w:cs="Verdana"/>
                <w:sz w:val="18"/>
                <w:szCs w:val="18"/>
              </w:rPr>
              <w:t>Turkey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Pr="002B78C2" w:rsidRDefault="00250420" w:rsidP="004C7679">
            <w:pPr>
              <w:rPr>
                <w:rFonts w:ascii="Verdana" w:eastAsia="Verdana" w:hAnsi="Verdana" w:cs="Verdana"/>
                <w:sz w:val="18"/>
                <w:szCs w:val="18"/>
                <w:lang w:val="en-US"/>
              </w:rPr>
            </w:pPr>
            <w:r>
              <w:rPr>
                <w:rFonts w:ascii="Verdana" w:eastAsia="Verdana" w:hAnsi="Verdana" w:cs="Verdana"/>
                <w:sz w:val="18"/>
                <w:szCs w:val="18"/>
                <w:lang w:val="en-US"/>
              </w:rPr>
              <w:t>No</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Ukraine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sidRPr="00BF24FC">
              <w:rPr>
                <w:rFonts w:ascii="Verdana" w:eastAsia="Verdana" w:hAnsi="Verdana" w:cs="Verdana"/>
                <w:sz w:val="18"/>
                <w:szCs w:val="18"/>
                <w:lang w:val="en-US"/>
              </w:rPr>
              <w:t xml:space="preserve">Yes, specific conditions for protection of radio astronomy service in the 1610.6 – 1613.8 MHz band are defined </w:t>
            </w:r>
            <w:r w:rsidRPr="002B78C2">
              <w:rPr>
                <w:rFonts w:ascii="Verdana" w:eastAsia="Verdana" w:hAnsi="Verdana" w:cs="Verdana"/>
                <w:sz w:val="18"/>
                <w:szCs w:val="18"/>
                <w:u w:val="single"/>
                <w:lang w:val="en-US"/>
              </w:rPr>
              <w:t>in the footnote U025</w:t>
            </w:r>
            <w:r w:rsidRPr="00BF24FC">
              <w:rPr>
                <w:rFonts w:ascii="Verdana" w:eastAsia="Verdana" w:hAnsi="Verdana" w:cs="Verdana"/>
                <w:sz w:val="18"/>
                <w:szCs w:val="18"/>
                <w:lang w:val="en-US"/>
              </w:rPr>
              <w:t xml:space="preserve"> of the National Frequency Allocation Table of Ukraine.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United Kingdom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 </w:t>
            </w:r>
          </w:p>
        </w:tc>
      </w:tr>
    </w:tbl>
    <w:p w:rsidR="007001A7" w:rsidRDefault="007001A7">
      <w:pPr>
        <w:pStyle w:val="Questionarie-instance"/>
        <w:keepLines/>
        <w:rPr>
          <w:rFonts w:ascii="Verdana" w:eastAsia="Verdana" w:hAnsi="Verdana" w:cs="Verdana"/>
          <w:b/>
          <w:bCs/>
          <w:sz w:val="18"/>
          <w:szCs w:val="18"/>
          <w:lang w:val="en-US"/>
        </w:rPr>
      </w:pPr>
    </w:p>
    <w:p w:rsidR="004814C2" w:rsidRDefault="004814C2">
      <w:pPr>
        <w:rPr>
          <w:rFonts w:ascii="Verdana" w:eastAsia="Verdana" w:hAnsi="Verdana" w:cs="Verdana"/>
          <w:b/>
          <w:bCs/>
          <w:sz w:val="18"/>
          <w:szCs w:val="18"/>
          <w:lang w:val="en-US"/>
        </w:rPr>
      </w:pPr>
    </w:p>
    <w:p w:rsidR="002B78C2" w:rsidRDefault="002B78C2">
      <w:pPr>
        <w:rPr>
          <w:rFonts w:ascii="Verdana" w:eastAsia="Verdana" w:hAnsi="Verdana" w:cs="Verdana"/>
          <w:b/>
          <w:bCs/>
          <w:sz w:val="18"/>
          <w:szCs w:val="18"/>
          <w:lang w:val="en-US"/>
        </w:rPr>
      </w:pPr>
    </w:p>
    <w:p w:rsidR="002B78C2" w:rsidRDefault="002B78C2">
      <w:pPr>
        <w:pStyle w:val="Questionarie-instance"/>
        <w:keepLines/>
        <w:rPr>
          <w:rFonts w:ascii="Verdana" w:eastAsia="Verdana" w:hAnsi="Verdana" w:cs="Verdana"/>
          <w:b/>
          <w:bCs/>
          <w:sz w:val="18"/>
          <w:szCs w:val="18"/>
          <w:lang w:val="en-US"/>
        </w:rPr>
      </w:pPr>
    </w:p>
    <w:p w:rsidR="0001038F" w:rsidRDefault="00FD6D0C">
      <w:pPr>
        <w:pStyle w:val="Questionarie-instance"/>
        <w:keepLines/>
        <w:rPr>
          <w:rStyle w:val="Questionarie-instanceQuestion-text"/>
          <w:rFonts w:ascii="Verdana" w:eastAsia="Verdana" w:hAnsi="Verdana" w:cs="Verdana"/>
          <w:sz w:val="18"/>
          <w:szCs w:val="18"/>
          <w:lang w:val="en-US"/>
        </w:rPr>
      </w:pPr>
      <w:r w:rsidRPr="00BF24FC">
        <w:rPr>
          <w:rFonts w:ascii="Verdana" w:eastAsia="Verdana" w:hAnsi="Verdana" w:cs="Verdana"/>
          <w:b/>
          <w:bCs/>
          <w:sz w:val="18"/>
          <w:szCs w:val="18"/>
          <w:lang w:val="en-US"/>
        </w:rPr>
        <w:t xml:space="preserve">Question 5: </w:t>
      </w:r>
      <w:r w:rsidRPr="00BF24FC">
        <w:rPr>
          <w:rStyle w:val="Questionarie-instanceQuestion-text"/>
          <w:rFonts w:ascii="Verdana" w:eastAsia="Verdana" w:hAnsi="Verdana" w:cs="Verdana"/>
          <w:sz w:val="18"/>
          <w:szCs w:val="18"/>
          <w:lang w:val="en-US"/>
        </w:rPr>
        <w:t xml:space="preserve">Please provide information on the implementation of ECC Decision (09)02 in your country (Implemented / not implemented / under study / planned?). </w:t>
      </w:r>
    </w:p>
    <w:p w:rsidR="006205E3" w:rsidRDefault="006205E3">
      <w:pPr>
        <w:pStyle w:val="Questionarie-instance"/>
        <w:keepLines/>
        <w:rPr>
          <w:rStyle w:val="Questionarie-instanceQuestion-text"/>
          <w:rFonts w:ascii="Verdana" w:eastAsia="Verdana" w:hAnsi="Verdana" w:cs="Verdana"/>
          <w:sz w:val="18"/>
          <w:szCs w:val="18"/>
          <w:lang w:val="en-US"/>
        </w:rPr>
      </w:pPr>
    </w:p>
    <w:p w:rsidR="006205E3" w:rsidRDefault="006205E3">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This question greatly helped to update the implementation status in the documentation database</w:t>
      </w:r>
      <w:r w:rsidR="00401B60">
        <w:rPr>
          <w:rStyle w:val="Questionarie-instanceQuestion-text"/>
          <w:rFonts w:ascii="Verdana" w:eastAsia="Verdana" w:hAnsi="Verdana" w:cs="Verdana"/>
          <w:sz w:val="18"/>
          <w:szCs w:val="18"/>
          <w:lang w:val="en-US"/>
        </w:rPr>
        <w:t>:</w:t>
      </w:r>
    </w:p>
    <w:p w:rsidR="0063334D" w:rsidRDefault="0063334D">
      <w:pPr>
        <w:pStyle w:val="Questionarie-instance"/>
        <w:keepLines/>
        <w:rPr>
          <w:rStyle w:val="Questionarie-instanceQuestion-text"/>
          <w:rFonts w:ascii="Verdana" w:eastAsia="Verdana" w:hAnsi="Verdana" w:cs="Verdana"/>
          <w:sz w:val="18"/>
          <w:szCs w:val="18"/>
          <w:lang w:val="en-US"/>
        </w:rPr>
      </w:pPr>
    </w:p>
    <w:p w:rsidR="0063334D" w:rsidRDefault="00B63A75">
      <w:pPr>
        <w:pStyle w:val="Questionarie-instance"/>
        <w:keepLines/>
        <w:rPr>
          <w:rStyle w:val="Questionarie-instanceQuestion-text"/>
          <w:rFonts w:ascii="Verdana" w:eastAsia="Verdana" w:hAnsi="Verdana" w:cs="Verdana"/>
          <w:sz w:val="18"/>
          <w:szCs w:val="18"/>
          <w:lang w:val="en-US"/>
        </w:rPr>
      </w:pPr>
      <w:r w:rsidRPr="00B63A75">
        <w:rPr>
          <w:lang w:val="en-US"/>
        </w:rPr>
        <w:t xml:space="preserve">See under: </w:t>
      </w:r>
      <w:hyperlink r:id="rId10" w:history="1">
        <w:r w:rsidR="0063334D">
          <w:rPr>
            <w:rStyle w:val="Hyperlink"/>
            <w:rFonts w:ascii="Verdana" w:eastAsia="Verdana" w:hAnsi="Verdana" w:cs="Verdana"/>
            <w:sz w:val="18"/>
            <w:szCs w:val="18"/>
            <w:lang w:val="en-US"/>
          </w:rPr>
          <w:t>Implementation Status ECC/</w:t>
        </w:r>
        <w:proofErr w:type="gramStart"/>
        <w:r w:rsidR="0063334D">
          <w:rPr>
            <w:rStyle w:val="Hyperlink"/>
            <w:rFonts w:ascii="Verdana" w:eastAsia="Verdana" w:hAnsi="Verdana" w:cs="Verdana"/>
            <w:sz w:val="18"/>
            <w:szCs w:val="18"/>
            <w:lang w:val="en-US"/>
          </w:rPr>
          <w:t>DEC(</w:t>
        </w:r>
        <w:proofErr w:type="gramEnd"/>
        <w:r w:rsidR="0063334D">
          <w:rPr>
            <w:rStyle w:val="Hyperlink"/>
            <w:rFonts w:ascii="Verdana" w:eastAsia="Verdana" w:hAnsi="Verdana" w:cs="Verdana"/>
            <w:sz w:val="18"/>
            <w:szCs w:val="18"/>
            <w:lang w:val="en-US"/>
          </w:rPr>
          <w:t>09)02</w:t>
        </w:r>
      </w:hyperlink>
      <w:r w:rsidR="0063334D">
        <w:rPr>
          <w:rStyle w:val="Questionarie-instanceQuestion-text"/>
          <w:rFonts w:ascii="Verdana" w:eastAsia="Verdana" w:hAnsi="Verdana" w:cs="Verdana"/>
          <w:sz w:val="18"/>
          <w:szCs w:val="18"/>
          <w:lang w:val="en-US"/>
        </w:rPr>
        <w:t xml:space="preserve"> </w:t>
      </w:r>
    </w:p>
    <w:p w:rsidR="006205E3" w:rsidRDefault="006205E3">
      <w:pPr>
        <w:pStyle w:val="Questionarie-instance"/>
        <w:keepLines/>
        <w:rPr>
          <w:rStyle w:val="Questionarie-instanceQuestion-text"/>
          <w:rFonts w:ascii="Verdana" w:eastAsia="Verdana" w:hAnsi="Verdana" w:cs="Verdana"/>
          <w:sz w:val="18"/>
          <w:szCs w:val="18"/>
          <w:lang w:val="en-US"/>
        </w:rPr>
      </w:pP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r w:rsidRPr="00401B60">
        <w:rPr>
          <w:rStyle w:val="Questionarie-instanceQuestion-text"/>
          <w:rFonts w:ascii="Verdana" w:eastAsia="Verdana" w:hAnsi="Verdana" w:cs="Verdana"/>
          <w:b w:val="0"/>
          <w:sz w:val="16"/>
          <w:szCs w:val="16"/>
          <w:lang w:val="en-US"/>
        </w:rPr>
        <w:t>Yes ... 2</w:t>
      </w:r>
      <w:r w:rsidR="004814C2">
        <w:rPr>
          <w:rStyle w:val="Questionarie-instanceQuestion-text"/>
          <w:rFonts w:ascii="Verdana" w:eastAsia="Verdana" w:hAnsi="Verdana" w:cs="Verdana"/>
          <w:b w:val="0"/>
          <w:sz w:val="16"/>
          <w:szCs w:val="16"/>
          <w:lang w:val="en-US"/>
        </w:rPr>
        <w:t>7</w:t>
      </w:r>
      <w:r w:rsidRPr="00401B60">
        <w:rPr>
          <w:rStyle w:val="Questionarie-instanceQuestion-text"/>
          <w:rFonts w:ascii="Verdana" w:eastAsia="Verdana" w:hAnsi="Verdana" w:cs="Verdana"/>
          <w:b w:val="0"/>
          <w:sz w:val="16"/>
          <w:szCs w:val="16"/>
          <w:lang w:val="en-US"/>
        </w:rPr>
        <w:t xml:space="preserve">  </w:t>
      </w: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r w:rsidRPr="00401B60">
        <w:rPr>
          <w:rStyle w:val="Questionarie-instanceQuestion-text"/>
          <w:rFonts w:ascii="Verdana" w:eastAsia="Verdana" w:hAnsi="Verdana" w:cs="Verdana"/>
          <w:b w:val="0"/>
          <w:sz w:val="16"/>
          <w:szCs w:val="16"/>
          <w:lang w:val="en-US"/>
        </w:rPr>
        <w:t xml:space="preserve">Yes Partly ... </w:t>
      </w:r>
      <w:r w:rsidR="004814C2">
        <w:rPr>
          <w:rStyle w:val="Questionarie-instanceQuestion-text"/>
          <w:rFonts w:ascii="Verdana" w:eastAsia="Verdana" w:hAnsi="Verdana" w:cs="Verdana"/>
          <w:b w:val="0"/>
          <w:sz w:val="16"/>
          <w:szCs w:val="16"/>
          <w:lang w:val="en-US"/>
        </w:rPr>
        <w:t>2</w:t>
      </w:r>
      <w:r w:rsidRPr="00401B60">
        <w:rPr>
          <w:rStyle w:val="Questionarie-instanceQuestion-text"/>
          <w:rFonts w:ascii="Verdana" w:eastAsia="Verdana" w:hAnsi="Verdana" w:cs="Verdana"/>
          <w:b w:val="0"/>
          <w:sz w:val="16"/>
          <w:szCs w:val="16"/>
          <w:lang w:val="en-US"/>
        </w:rPr>
        <w:t xml:space="preserve">  </w:t>
      </w: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r w:rsidRPr="00401B60">
        <w:rPr>
          <w:rStyle w:val="Questionarie-instanceQuestion-text"/>
          <w:rFonts w:ascii="Verdana" w:eastAsia="Verdana" w:hAnsi="Verdana" w:cs="Verdana"/>
          <w:b w:val="0"/>
          <w:sz w:val="16"/>
          <w:szCs w:val="16"/>
          <w:lang w:val="en-US"/>
        </w:rPr>
        <w:t>Committed ... 1</w:t>
      </w: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r w:rsidRPr="00401B60">
        <w:rPr>
          <w:rStyle w:val="Questionarie-instanceQuestion-text"/>
          <w:rFonts w:ascii="Verdana" w:eastAsia="Verdana" w:hAnsi="Verdana" w:cs="Verdana"/>
          <w:b w:val="0"/>
          <w:sz w:val="16"/>
          <w:szCs w:val="16"/>
          <w:lang w:val="en-US"/>
        </w:rPr>
        <w:t xml:space="preserve">Planned ... 2  </w:t>
      </w: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r w:rsidRPr="00401B60">
        <w:rPr>
          <w:rStyle w:val="Questionarie-instanceQuestion-text"/>
          <w:rFonts w:ascii="Verdana" w:eastAsia="Verdana" w:hAnsi="Verdana" w:cs="Verdana"/>
          <w:b w:val="0"/>
          <w:sz w:val="16"/>
          <w:szCs w:val="16"/>
          <w:lang w:val="en-US"/>
        </w:rPr>
        <w:t xml:space="preserve">Under study ... 3 </w:t>
      </w:r>
      <w:r>
        <w:rPr>
          <w:rStyle w:val="Questionarie-instanceQuestion-text"/>
          <w:rFonts w:ascii="Verdana" w:eastAsia="Verdana" w:hAnsi="Verdana" w:cs="Verdana"/>
          <w:b w:val="0"/>
          <w:sz w:val="16"/>
          <w:szCs w:val="16"/>
          <w:lang w:val="en-US"/>
        </w:rPr>
        <w:t>(in blue)</w:t>
      </w: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p>
    <w:p w:rsidR="00401B60" w:rsidRPr="00401B60" w:rsidRDefault="00401B60" w:rsidP="00401B60">
      <w:pPr>
        <w:pStyle w:val="Questionarie-instance"/>
        <w:keepLines/>
        <w:contextualSpacing/>
        <w:rPr>
          <w:rStyle w:val="Questionarie-instanceQuestion-text"/>
          <w:rFonts w:ascii="Verdana" w:eastAsia="Verdana" w:hAnsi="Verdana" w:cs="Verdana"/>
          <w:b w:val="0"/>
          <w:sz w:val="16"/>
          <w:szCs w:val="16"/>
          <w:lang w:val="en-US"/>
        </w:rPr>
      </w:pPr>
      <w:r w:rsidRPr="00401B60">
        <w:rPr>
          <w:rStyle w:val="Questionarie-instanceQuestion-text"/>
          <w:rFonts w:ascii="Verdana" w:eastAsia="Verdana" w:hAnsi="Verdana" w:cs="Verdana"/>
          <w:b w:val="0"/>
          <w:sz w:val="16"/>
          <w:szCs w:val="16"/>
          <w:lang w:val="en-US"/>
        </w:rPr>
        <w:t xml:space="preserve">No ... </w:t>
      </w:r>
      <w:r w:rsidR="0063334D">
        <w:rPr>
          <w:rStyle w:val="Questionarie-instanceQuestion-text"/>
          <w:rFonts w:ascii="Verdana" w:eastAsia="Verdana" w:hAnsi="Verdana" w:cs="Verdana"/>
          <w:b w:val="0"/>
          <w:sz w:val="16"/>
          <w:szCs w:val="16"/>
          <w:lang w:val="en-US"/>
        </w:rPr>
        <w:t>4</w:t>
      </w:r>
      <w:r w:rsidRPr="00401B60">
        <w:rPr>
          <w:rStyle w:val="Questionarie-instanceQuestion-text"/>
          <w:rFonts w:ascii="Verdana" w:eastAsia="Verdana" w:hAnsi="Verdana" w:cs="Verdana"/>
          <w:b w:val="0"/>
          <w:sz w:val="16"/>
          <w:szCs w:val="16"/>
          <w:lang w:val="en-US"/>
        </w:rPr>
        <w:t xml:space="preserve"> </w:t>
      </w:r>
      <w:r>
        <w:rPr>
          <w:rStyle w:val="Questionarie-instanceQuestion-text"/>
          <w:rFonts w:ascii="Verdana" w:eastAsia="Verdana" w:hAnsi="Verdana" w:cs="Verdana"/>
          <w:b w:val="0"/>
          <w:sz w:val="16"/>
          <w:szCs w:val="16"/>
          <w:lang w:val="en-US"/>
        </w:rPr>
        <w:t>(in red)</w:t>
      </w:r>
    </w:p>
    <w:p w:rsidR="00401B60" w:rsidRPr="00401B60" w:rsidRDefault="00401B60" w:rsidP="00401B60">
      <w:pPr>
        <w:pStyle w:val="Questionarie-instance"/>
        <w:keepLines/>
        <w:rPr>
          <w:rStyle w:val="Questionarie-instanceQuestion-text"/>
          <w:rFonts w:ascii="Verdana" w:eastAsia="Verdana" w:hAnsi="Verdana" w:cs="Verdana"/>
          <w:b w:val="0"/>
          <w:sz w:val="16"/>
          <w:szCs w:val="16"/>
          <w:lang w:val="en-US"/>
        </w:rPr>
      </w:pPr>
    </w:p>
    <w:p w:rsidR="00401B60" w:rsidRPr="00401B60" w:rsidRDefault="00401B60" w:rsidP="00401B60">
      <w:pPr>
        <w:pStyle w:val="Questionarie-instance"/>
        <w:keepLines/>
        <w:rPr>
          <w:rStyle w:val="Questionarie-instanceQuestion-text"/>
          <w:rFonts w:ascii="Verdana" w:eastAsia="Verdana" w:hAnsi="Verdana" w:cs="Verdana"/>
          <w:b w:val="0"/>
          <w:sz w:val="16"/>
          <w:szCs w:val="16"/>
          <w:lang w:val="en-US"/>
        </w:rPr>
      </w:pPr>
      <w:r w:rsidRPr="00401B60">
        <w:rPr>
          <w:rStyle w:val="Questionarie-instanceQuestion-text"/>
          <w:rFonts w:ascii="Verdana" w:eastAsia="Verdana" w:hAnsi="Verdana" w:cs="Verdana"/>
          <w:b w:val="0"/>
          <w:sz w:val="16"/>
          <w:szCs w:val="16"/>
          <w:lang w:val="en-US"/>
        </w:rPr>
        <w:t xml:space="preserve">No info ... 9 </w:t>
      </w:r>
      <w:r>
        <w:rPr>
          <w:rStyle w:val="Questionarie-instanceQuestion-text"/>
          <w:rFonts w:ascii="Verdana" w:eastAsia="Verdana" w:hAnsi="Verdana" w:cs="Verdana"/>
          <w:b w:val="0"/>
          <w:sz w:val="16"/>
          <w:szCs w:val="16"/>
          <w:lang w:val="en-US"/>
        </w:rPr>
        <w:t>(in grey)</w:t>
      </w:r>
    </w:p>
    <w:p w:rsidR="00401B60" w:rsidRDefault="00401B60">
      <w:pPr>
        <w:pStyle w:val="Questionarie-instance"/>
        <w:keepLines/>
        <w:rPr>
          <w:rStyle w:val="Questionarie-instanceQuestion-text"/>
          <w:rFonts w:ascii="Verdana" w:eastAsia="Verdana" w:hAnsi="Verdana" w:cs="Verdana"/>
          <w:sz w:val="18"/>
          <w:szCs w:val="18"/>
          <w:lang w:val="en-US"/>
        </w:rPr>
      </w:pPr>
    </w:p>
    <w:p w:rsidR="002F0BA7" w:rsidRDefault="002F0BA7">
      <w:pPr>
        <w:pStyle w:val="Questionarie-instance"/>
        <w:keepLines/>
        <w:rPr>
          <w:rStyle w:val="Questionarie-instanceQuestion-text"/>
          <w:rFonts w:ascii="Verdana" w:eastAsia="Verdana" w:hAnsi="Verdana" w:cs="Verdana"/>
          <w:sz w:val="18"/>
          <w:szCs w:val="18"/>
          <w:lang w:val="en-US"/>
        </w:rPr>
      </w:pPr>
      <w:r>
        <w:rPr>
          <w:noProof/>
        </w:rPr>
        <w:lastRenderedPageBreak/>
        <w:drawing>
          <wp:inline distT="0" distB="0" distL="0" distR="0" wp14:anchorId="2672247A" wp14:editId="03EE206F">
            <wp:extent cx="6332220" cy="4876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32220" cy="4876165"/>
                    </a:xfrm>
                    <a:prstGeom prst="rect">
                      <a:avLst/>
                    </a:prstGeom>
                  </pic:spPr>
                </pic:pic>
              </a:graphicData>
            </a:graphic>
          </wp:inline>
        </w:drawing>
      </w:r>
    </w:p>
    <w:p w:rsidR="00401B60" w:rsidRDefault="00401B60">
      <w:pPr>
        <w:pStyle w:val="Questionarie-instance"/>
        <w:keepLines/>
        <w:rPr>
          <w:rStyle w:val="Questionarie-instanceQuestion-text"/>
          <w:rFonts w:ascii="Verdana" w:eastAsia="Verdana" w:hAnsi="Verdana" w:cs="Verdana"/>
          <w:sz w:val="18"/>
          <w:szCs w:val="18"/>
          <w:lang w:val="en-US"/>
        </w:rPr>
      </w:pPr>
    </w:p>
    <w:p w:rsidR="007001A7" w:rsidRPr="00BF24FC" w:rsidRDefault="00401B60">
      <w:pPr>
        <w:pStyle w:val="Questionarie-instance"/>
        <w:keepLines/>
        <w:rPr>
          <w:lang w:val="en-US"/>
        </w:rPr>
      </w:pPr>
      <w:r>
        <w:rPr>
          <w:lang w:val="en-US"/>
        </w:rPr>
        <w:t xml:space="preserve">Information from the answers received: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2157"/>
        <w:gridCol w:w="8040"/>
      </w:tblGrid>
      <w:tr w:rsidR="006205E3" w:rsidRPr="00BF24F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Albania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F61E8F">
            <w:pPr>
              <w:rPr>
                <w:lang w:val="en-US"/>
              </w:rPr>
            </w:pPr>
            <w:r w:rsidRPr="00BF24FC">
              <w:rPr>
                <w:rFonts w:ascii="Verdana" w:eastAsia="Verdana" w:hAnsi="Verdana" w:cs="Verdana"/>
                <w:sz w:val="18"/>
                <w:szCs w:val="18"/>
                <w:lang w:val="en-US"/>
              </w:rPr>
              <w:t>Implemented</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Austria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F61E8F">
            <w:r>
              <w:rPr>
                <w:rFonts w:ascii="Verdana" w:eastAsia="Verdana" w:hAnsi="Verdana" w:cs="Verdana"/>
                <w:sz w:val="18"/>
                <w:szCs w:val="18"/>
              </w:rPr>
              <w:t xml:space="preserve">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Belgium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Not implemented </w:t>
            </w:r>
          </w:p>
        </w:tc>
      </w:tr>
      <w:tr w:rsidR="006205E3" w:rsidRPr="00BF24F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Bulgaria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F61E8F">
            <w:pPr>
              <w:rPr>
                <w:lang w:val="en-US"/>
              </w:rPr>
            </w:pPr>
            <w:r>
              <w:rPr>
                <w:rFonts w:ascii="Verdana" w:eastAsia="Verdana" w:hAnsi="Verdana" w:cs="Verdana"/>
                <w:sz w:val="18"/>
                <w:szCs w:val="18"/>
                <w:lang w:val="en-US"/>
              </w:rPr>
              <w:t>Not implemented</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Croatia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F61E8F">
            <w:r>
              <w:rPr>
                <w:rFonts w:ascii="Verdana" w:eastAsia="Verdana" w:hAnsi="Verdana" w:cs="Verdana"/>
                <w:sz w:val="18"/>
                <w:szCs w:val="18"/>
              </w:rPr>
              <w:t xml:space="preserve">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Cyprus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Czech Republic</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5E2D82">
            <w:pPr>
              <w:rPr>
                <w:lang w:val="en-US"/>
              </w:rPr>
            </w:pPr>
            <w:r w:rsidRPr="00BF24FC">
              <w:rPr>
                <w:rFonts w:ascii="Verdana" w:eastAsia="Verdana" w:hAnsi="Verdana" w:cs="Verdana"/>
                <w:sz w:val="18"/>
                <w:szCs w:val="18"/>
                <w:lang w:val="en-US"/>
              </w:rPr>
              <w:t xml:space="preserve">Under study. </w:t>
            </w:r>
            <w:r w:rsidRPr="00BF24FC">
              <w:rPr>
                <w:rFonts w:ascii="Verdana" w:eastAsia="Verdana" w:hAnsi="Verdana" w:cs="Verdana"/>
                <w:sz w:val="18"/>
                <w:szCs w:val="18"/>
                <w:lang w:val="en-US"/>
              </w:rPr>
              <w:br/>
              <w:t>If there is no clear indication that radio</w:t>
            </w:r>
            <w:r>
              <w:rPr>
                <w:rFonts w:ascii="Verdana" w:eastAsia="Verdana" w:hAnsi="Verdana" w:cs="Verdana"/>
                <w:sz w:val="18"/>
                <w:szCs w:val="18"/>
                <w:lang w:val="en-US"/>
              </w:rPr>
              <w:t xml:space="preserve"> </w:t>
            </w:r>
            <w:r w:rsidRPr="00BF24FC">
              <w:rPr>
                <w:rFonts w:ascii="Verdana" w:eastAsia="Verdana" w:hAnsi="Verdana" w:cs="Verdana"/>
                <w:sz w:val="18"/>
                <w:szCs w:val="18"/>
                <w:lang w:val="en-US"/>
              </w:rPr>
              <w:t xml:space="preserve">astronomy service is protected from "Iridium Next", the Czech Republic will consider taking appropriate measures through changes in </w:t>
            </w:r>
            <w:proofErr w:type="spellStart"/>
            <w:r w:rsidRPr="00BF24FC">
              <w:rPr>
                <w:rFonts w:ascii="Verdana" w:eastAsia="Verdana" w:hAnsi="Verdana" w:cs="Verdana"/>
                <w:sz w:val="18"/>
                <w:szCs w:val="18"/>
                <w:lang w:val="en-US"/>
              </w:rPr>
              <w:t>authori</w:t>
            </w:r>
            <w:r w:rsidR="005E2D82">
              <w:rPr>
                <w:rFonts w:ascii="Verdana" w:eastAsia="Verdana" w:hAnsi="Verdana" w:cs="Verdana"/>
                <w:sz w:val="18"/>
                <w:szCs w:val="18"/>
                <w:lang w:val="en-US"/>
              </w:rPr>
              <w:t>s</w:t>
            </w:r>
            <w:r w:rsidRPr="00BF24FC">
              <w:rPr>
                <w:rFonts w:ascii="Verdana" w:eastAsia="Verdana" w:hAnsi="Verdana" w:cs="Verdana"/>
                <w:sz w:val="18"/>
                <w:szCs w:val="18"/>
                <w:lang w:val="en-US"/>
              </w:rPr>
              <w:t>ation</w:t>
            </w:r>
            <w:proofErr w:type="spellEnd"/>
            <w:r w:rsidRPr="00BF24FC">
              <w:rPr>
                <w:rFonts w:ascii="Verdana" w:eastAsia="Verdana" w:hAnsi="Verdana" w:cs="Verdana"/>
                <w:sz w:val="18"/>
                <w:szCs w:val="18"/>
                <w:lang w:val="en-US"/>
              </w:rPr>
              <w:t xml:space="preserve"> of MSS service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Denmark</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Estonia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RP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6205E3" w:rsidRDefault="006205E3">
            <w:pPr>
              <w:rPr>
                <w:lang w:val="en-US"/>
              </w:rPr>
            </w:pPr>
            <w:r w:rsidRPr="006205E3">
              <w:rPr>
                <w:rFonts w:ascii="Verdana" w:eastAsia="Verdana" w:hAnsi="Verdana" w:cs="Verdana"/>
                <w:sz w:val="18"/>
                <w:szCs w:val="18"/>
                <w:lang w:val="en-US"/>
              </w:rPr>
              <w:t>Finland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6205E3" w:rsidRDefault="006205E3">
            <w:pPr>
              <w:rPr>
                <w:lang w:val="en-US"/>
              </w:rPr>
            </w:pPr>
            <w:r w:rsidRPr="006205E3">
              <w:rPr>
                <w:rFonts w:ascii="Verdana" w:eastAsia="Verdana" w:hAnsi="Verdana" w:cs="Verdana"/>
                <w:sz w:val="18"/>
                <w:szCs w:val="18"/>
                <w:lang w:val="en-US"/>
              </w:rPr>
              <w:t xml:space="preserve">Implemented </w:t>
            </w:r>
          </w:p>
        </w:tc>
      </w:tr>
      <w:tr w:rsidR="006205E3" w:rsidRPr="00BF24F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pPr>
              <w:rPr>
                <w:rFonts w:ascii="Verdana" w:eastAsia="Verdana" w:hAnsi="Verdana" w:cs="Verdana"/>
                <w:sz w:val="18"/>
                <w:szCs w:val="18"/>
              </w:rPr>
            </w:pPr>
            <w:r>
              <w:rPr>
                <w:rFonts w:ascii="Verdana" w:eastAsia="Verdana" w:hAnsi="Verdana" w:cs="Verdana"/>
                <w:sz w:val="18"/>
                <w:szCs w:val="18"/>
              </w:rPr>
              <w:t>France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pPr>
              <w:rPr>
                <w:rFonts w:ascii="Verdana" w:eastAsia="Verdana" w:hAnsi="Verdana" w:cs="Verdana"/>
                <w:sz w:val="18"/>
                <w:szCs w:val="18"/>
                <w:lang w:val="en-US"/>
              </w:rPr>
            </w:pPr>
            <w:r>
              <w:rPr>
                <w:rFonts w:ascii="Verdana" w:eastAsia="Verdana" w:hAnsi="Verdana" w:cs="Verdana"/>
                <w:sz w:val="18"/>
                <w:szCs w:val="18"/>
                <w:lang w:val="en-US"/>
              </w:rPr>
              <w:t>Implemented</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Germany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Implemented</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Greece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F61E8F">
            <w:r>
              <w:rPr>
                <w:rFonts w:ascii="Verdana" w:eastAsia="Verdana" w:hAnsi="Verdana" w:cs="Verdana"/>
                <w:sz w:val="18"/>
                <w:szCs w:val="18"/>
              </w:rPr>
              <w:t>Under study</w:t>
            </w:r>
          </w:p>
        </w:tc>
      </w:tr>
      <w:tr w:rsidR="006205E3" w:rsidRPr="00BF24F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Hungary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Pr>
                <w:rFonts w:ascii="Verdana" w:eastAsia="Verdana" w:hAnsi="Verdana" w:cs="Verdana"/>
                <w:sz w:val="18"/>
                <w:szCs w:val="18"/>
                <w:lang w:val="en-US"/>
              </w:rPr>
              <w:t>Implemented</w:t>
            </w:r>
            <w:r w:rsidRPr="00BF24FC">
              <w:rPr>
                <w:rFonts w:ascii="Verdana" w:eastAsia="Verdana" w:hAnsi="Verdana" w:cs="Verdana"/>
                <w:sz w:val="18"/>
                <w:szCs w:val="18"/>
                <w:lang w:val="en-US"/>
              </w:rPr>
              <w:t xml:space="preserv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Ireland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E456D2">
            <w:r>
              <w:rPr>
                <w:rFonts w:ascii="Verdana" w:eastAsia="Verdana" w:hAnsi="Verdana" w:cs="Verdana"/>
                <w:sz w:val="18"/>
                <w:szCs w:val="18"/>
              </w:rPr>
              <w:t>I</w:t>
            </w:r>
            <w:r w:rsidR="00E456D2">
              <w:rPr>
                <w:rFonts w:ascii="Verdana" w:eastAsia="Verdana" w:hAnsi="Verdana" w:cs="Verdana"/>
                <w:sz w:val="18"/>
                <w:szCs w:val="18"/>
              </w:rPr>
              <w:t>taly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Pr>
                <w:rFonts w:ascii="Verdana" w:eastAsia="Verdana" w:hAnsi="Verdana" w:cs="Verdana"/>
                <w:sz w:val="18"/>
                <w:szCs w:val="18"/>
                <w:lang w:val="en-US"/>
              </w:rPr>
              <w:t xml:space="preserve">Committed. </w:t>
            </w:r>
            <w:r w:rsidRPr="00BF24FC">
              <w:rPr>
                <w:rFonts w:ascii="Verdana" w:eastAsia="Verdana" w:hAnsi="Verdana" w:cs="Verdana"/>
                <w:sz w:val="18"/>
                <w:szCs w:val="18"/>
                <w:lang w:val="en-US"/>
              </w:rPr>
              <w:t xml:space="preserve">The ECC Decision (09)02 will be implemented in the new National Frequency Allocation Table to be issued in the near future </w:t>
            </w:r>
          </w:p>
        </w:tc>
      </w:tr>
      <w:tr w:rsidR="006205E3" w:rsidRPr="00BF24F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Latvia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F61E8F">
            <w:pPr>
              <w:rPr>
                <w:lang w:val="en-US"/>
              </w:rPr>
            </w:pPr>
            <w:r>
              <w:rPr>
                <w:rFonts w:ascii="Verdana" w:eastAsia="Verdana" w:hAnsi="Verdana" w:cs="Verdana"/>
                <w:sz w:val="18"/>
                <w:szCs w:val="18"/>
                <w:lang w:val="en-US"/>
              </w:rPr>
              <w:t>I</w:t>
            </w:r>
            <w:r w:rsidRPr="00BF24FC">
              <w:rPr>
                <w:rFonts w:ascii="Verdana" w:eastAsia="Verdana" w:hAnsi="Verdana" w:cs="Verdana"/>
                <w:sz w:val="18"/>
                <w:szCs w:val="18"/>
                <w:lang w:val="en-US"/>
              </w:rPr>
              <w:t xml:space="preserve">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Lithuania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Pr>
                <w:rFonts w:ascii="Verdana" w:eastAsia="Verdana" w:hAnsi="Verdana" w:cs="Verdana"/>
                <w:sz w:val="18"/>
                <w:szCs w:val="18"/>
                <w:lang w:val="en-US"/>
              </w:rPr>
              <w:t>Montenegro</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Netherlands</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Norway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lang w:val="en-US"/>
              </w:rPr>
              <w:t>Poland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F61E8F">
            <w:r>
              <w:rPr>
                <w:rFonts w:ascii="Verdana" w:eastAsia="Verdana" w:hAnsi="Verdana" w:cs="Verdana"/>
                <w:sz w:val="18"/>
                <w:szCs w:val="18"/>
              </w:rPr>
              <w:t xml:space="preserve">Not 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Portugal</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Romania </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Implemented </w:t>
            </w:r>
          </w:p>
        </w:tc>
      </w:tr>
      <w:tr w:rsidR="006205E3" w:rsidRPr="00FA762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Russian Federation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pPr>
              <w:rPr>
                <w:rFonts w:ascii="Verdana" w:eastAsia="Verdana" w:hAnsi="Verdana" w:cs="Verdana"/>
                <w:sz w:val="18"/>
                <w:szCs w:val="18"/>
                <w:lang w:val="en-US"/>
              </w:rPr>
            </w:pPr>
            <w:r>
              <w:rPr>
                <w:rFonts w:ascii="Verdana" w:eastAsia="Verdana" w:hAnsi="Verdana" w:cs="Verdana"/>
                <w:sz w:val="18"/>
                <w:szCs w:val="18"/>
                <w:lang w:val="en-US"/>
              </w:rPr>
              <w:t>Implemented</w:t>
            </w:r>
          </w:p>
          <w:p w:rsidR="006205E3" w:rsidRPr="00BF24FC" w:rsidRDefault="006205E3">
            <w:pPr>
              <w:rPr>
                <w:lang w:val="en-US"/>
              </w:rPr>
            </w:pPr>
            <w:r>
              <w:rPr>
                <w:rFonts w:ascii="Verdana" w:eastAsia="Verdana" w:hAnsi="Verdana" w:cs="Verdana"/>
                <w:sz w:val="18"/>
                <w:szCs w:val="18"/>
                <w:lang w:val="en-US"/>
              </w:rPr>
              <w:t xml:space="preserve">The </w:t>
            </w:r>
            <w:r w:rsidRPr="00BF24FC">
              <w:rPr>
                <w:rFonts w:ascii="Verdana" w:eastAsia="Verdana" w:hAnsi="Verdana" w:cs="Verdana"/>
                <w:sz w:val="18"/>
                <w:szCs w:val="18"/>
                <w:lang w:val="en-US"/>
              </w:rPr>
              <w:t xml:space="preserve">ECC Decision (09)02 is implemented 11.11.2011 (the GRFC Decision № 10-06-03-3 dated 19.02.2010) in the frequency band 1610.115-1621.185 MHz (Earth-space) with respect to </w:t>
            </w:r>
            <w:r>
              <w:rPr>
                <w:rFonts w:ascii="Verdana" w:eastAsia="Verdana" w:hAnsi="Verdana" w:cs="Verdana"/>
                <w:sz w:val="18"/>
                <w:szCs w:val="18"/>
                <w:lang w:val="en-US"/>
              </w:rPr>
              <w:t xml:space="preserve">the </w:t>
            </w:r>
            <w:proofErr w:type="spellStart"/>
            <w:r w:rsidRPr="00BF24FC">
              <w:rPr>
                <w:rFonts w:ascii="Verdana" w:eastAsia="Verdana" w:hAnsi="Verdana" w:cs="Verdana"/>
                <w:sz w:val="18"/>
                <w:szCs w:val="18"/>
                <w:lang w:val="en-US"/>
              </w:rPr>
              <w:t>Globalstar</w:t>
            </w:r>
            <w:proofErr w:type="spellEnd"/>
            <w:r w:rsidRPr="00BF24FC">
              <w:rPr>
                <w:rFonts w:ascii="Verdana" w:eastAsia="Verdana" w:hAnsi="Verdana" w:cs="Verdana"/>
                <w:sz w:val="18"/>
                <w:szCs w:val="18"/>
                <w:lang w:val="en-US"/>
              </w:rPr>
              <w:t xml:space="preserve"> MSS system </w:t>
            </w:r>
          </w:p>
        </w:tc>
      </w:tr>
      <w:tr w:rsidR="006205E3" w:rsidRPr="00BF24F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E456D2">
            <w:r>
              <w:rPr>
                <w:rFonts w:ascii="Verdana" w:eastAsia="Verdana" w:hAnsi="Verdana" w:cs="Verdana"/>
                <w:sz w:val="18"/>
                <w:szCs w:val="18"/>
              </w:rPr>
              <w:t>S</w:t>
            </w:r>
            <w:r w:rsidR="00E456D2">
              <w:rPr>
                <w:rFonts w:ascii="Verdana" w:eastAsia="Verdana" w:hAnsi="Verdana" w:cs="Verdana"/>
                <w:sz w:val="18"/>
                <w:szCs w:val="18"/>
              </w:rPr>
              <w:t>erbia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pPr>
              <w:rPr>
                <w:lang w:val="en-US"/>
              </w:rPr>
            </w:pPr>
            <w:r>
              <w:rPr>
                <w:rFonts w:ascii="Verdana" w:eastAsia="Verdana" w:hAnsi="Verdana" w:cs="Verdana"/>
                <w:sz w:val="18"/>
                <w:szCs w:val="18"/>
                <w:lang w:val="en-US"/>
              </w:rPr>
              <w:t>Implemented</w:t>
            </w:r>
            <w:r w:rsidRPr="00BF24FC">
              <w:rPr>
                <w:rFonts w:ascii="Verdana" w:eastAsia="Verdana" w:hAnsi="Verdana" w:cs="Verdana"/>
                <w:sz w:val="18"/>
                <w:szCs w:val="18"/>
                <w:lang w:val="en-US"/>
              </w:rPr>
              <w:t xml:space="preserv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Slovakia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lang w:val="en-US"/>
              </w:rPr>
              <w:t>Implemented</w:t>
            </w:r>
            <w:r>
              <w:rPr>
                <w:rFonts w:ascii="Verdana" w:eastAsia="Verdana" w:hAnsi="Verdana" w:cs="Verdana"/>
                <w:sz w:val="18"/>
                <w:szCs w:val="18"/>
              </w:rPr>
              <w:t xml:space="preserve">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Slovenia</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sidP="00F61E8F">
            <w:r>
              <w:rPr>
                <w:rFonts w:ascii="Verdana" w:eastAsia="Verdana" w:hAnsi="Verdana" w:cs="Verdana"/>
                <w:sz w:val="18"/>
                <w:szCs w:val="18"/>
              </w:rPr>
              <w:t xml:space="preserve">Implemented </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Spain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Planned </w:t>
            </w:r>
          </w:p>
        </w:tc>
      </w:tr>
      <w:tr w:rsidR="005E2D82"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5E2D82" w:rsidRDefault="005E2D82">
            <w:pPr>
              <w:rPr>
                <w:rFonts w:ascii="Verdana" w:eastAsia="Verdana" w:hAnsi="Verdana" w:cs="Verdana"/>
                <w:sz w:val="18"/>
                <w:szCs w:val="18"/>
              </w:rPr>
            </w:pPr>
            <w:r>
              <w:rPr>
                <w:rFonts w:ascii="Verdana" w:eastAsia="Verdana" w:hAnsi="Verdana" w:cs="Verdana"/>
                <w:sz w:val="18"/>
                <w:szCs w:val="18"/>
              </w:rPr>
              <w:t>Sweden</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5E2D82" w:rsidRDefault="00424101">
            <w:pPr>
              <w:rPr>
                <w:rFonts w:ascii="Verdana" w:eastAsia="Verdana" w:hAnsi="Verdana" w:cs="Verdana"/>
                <w:sz w:val="18"/>
                <w:szCs w:val="18"/>
              </w:rPr>
            </w:pPr>
            <w:r>
              <w:rPr>
                <w:rFonts w:ascii="Verdana" w:eastAsia="Verdana" w:hAnsi="Verdana" w:cs="Verdana"/>
                <w:sz w:val="18"/>
                <w:szCs w:val="18"/>
              </w:rPr>
              <w:t>Patially Implemented</w:t>
            </w:r>
          </w:p>
        </w:tc>
      </w:tr>
      <w:tr w:rsidR="006205E3" w:rsidRPr="00BF24F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6205E3" w:rsidRDefault="006205E3">
            <w:pPr>
              <w:rPr>
                <w:lang w:val="en-US"/>
              </w:rPr>
            </w:pPr>
            <w:r w:rsidRPr="006205E3">
              <w:rPr>
                <w:rFonts w:ascii="Verdana" w:eastAsia="Verdana" w:hAnsi="Verdana" w:cs="Verdana"/>
                <w:sz w:val="18"/>
                <w:szCs w:val="18"/>
                <w:lang w:val="en-US"/>
              </w:rPr>
              <w:t>Switzerland</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6205E3">
            <w:pPr>
              <w:rPr>
                <w:lang w:val="en-US"/>
              </w:rPr>
            </w:pPr>
            <w:r w:rsidRPr="00BF24FC">
              <w:rPr>
                <w:rFonts w:ascii="Verdana" w:eastAsia="Verdana" w:hAnsi="Verdana" w:cs="Verdana"/>
                <w:sz w:val="18"/>
                <w:szCs w:val="18"/>
                <w:lang w:val="en-US"/>
              </w:rPr>
              <w:t>Implemented</w:t>
            </w:r>
          </w:p>
        </w:tc>
      </w:tr>
      <w:tr w:rsidR="00250420" w:rsidRPr="00BF24F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Pr="006205E3" w:rsidRDefault="00250420">
            <w:pPr>
              <w:rPr>
                <w:rFonts w:ascii="Verdana" w:eastAsia="Verdana" w:hAnsi="Verdana" w:cs="Verdana"/>
                <w:sz w:val="18"/>
                <w:szCs w:val="18"/>
                <w:lang w:val="en-US"/>
              </w:rPr>
            </w:pPr>
            <w:r>
              <w:rPr>
                <w:rFonts w:ascii="Verdana" w:eastAsia="Verdana" w:hAnsi="Verdana" w:cs="Verdana"/>
                <w:sz w:val="18"/>
                <w:szCs w:val="18"/>
                <w:lang w:val="en-US"/>
              </w:rPr>
              <w:t>Turkey</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50420" w:rsidRPr="00BF24FC" w:rsidRDefault="00250420" w:rsidP="006205E3">
            <w:pPr>
              <w:rPr>
                <w:rFonts w:ascii="Verdana" w:eastAsia="Verdana" w:hAnsi="Verdana" w:cs="Verdana"/>
                <w:sz w:val="18"/>
                <w:szCs w:val="18"/>
                <w:lang w:val="en-US"/>
              </w:rPr>
            </w:pPr>
            <w:r w:rsidRPr="00250420">
              <w:rPr>
                <w:rFonts w:ascii="Verdana" w:eastAsia="Verdana" w:hAnsi="Verdana" w:cs="Verdana"/>
                <w:sz w:val="18"/>
                <w:szCs w:val="18"/>
                <w:lang w:val="en-US"/>
              </w:rPr>
              <w:t>Implemented</w:t>
            </w:r>
          </w:p>
        </w:tc>
      </w:tr>
      <w:tr w:rsidR="006205E3" w:rsidRPr="00BF24FC"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lastRenderedPageBreak/>
              <w:t>Ukraine</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Pr="00BF24FC" w:rsidRDefault="006205E3" w:rsidP="00F61E8F">
            <w:pPr>
              <w:rPr>
                <w:lang w:val="en-US"/>
              </w:rPr>
            </w:pPr>
            <w:r>
              <w:rPr>
                <w:rFonts w:ascii="Verdana" w:eastAsia="Verdana" w:hAnsi="Verdana" w:cs="Verdana"/>
                <w:sz w:val="18"/>
                <w:szCs w:val="18"/>
                <w:lang w:val="en-US"/>
              </w:rPr>
              <w:t>Planned</w:t>
            </w:r>
          </w:p>
        </w:tc>
      </w:tr>
      <w:tr w:rsidR="006205E3" w:rsidTr="007001A7">
        <w:trPr>
          <w:tblCellSpacing w:w="15" w:type="dxa"/>
        </w:trPr>
        <w:tc>
          <w:tcPr>
            <w:tcW w:w="211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United Kingdom</w:t>
            </w:r>
          </w:p>
        </w:tc>
        <w:tc>
          <w:tcPr>
            <w:tcW w:w="7995"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205E3" w:rsidRDefault="006205E3">
            <w:r>
              <w:rPr>
                <w:rFonts w:ascii="Verdana" w:eastAsia="Verdana" w:hAnsi="Verdana" w:cs="Verdana"/>
                <w:sz w:val="18"/>
                <w:szCs w:val="18"/>
              </w:rPr>
              <w:t xml:space="preserve">Not implemented </w:t>
            </w:r>
          </w:p>
        </w:tc>
      </w:tr>
    </w:tbl>
    <w:p w:rsidR="0001038F" w:rsidRDefault="0001038F" w:rsidP="00E708E3">
      <w:pPr>
        <w:rPr>
          <w:lang w:val="en-US"/>
        </w:rPr>
      </w:pPr>
    </w:p>
    <w:sectPr w:rsidR="0001038F">
      <w:pgSz w:w="12240" w:h="15840"/>
      <w:pgMar w:top="170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F"/>
    <w:rsid w:val="0001038F"/>
    <w:rsid w:val="001A20C6"/>
    <w:rsid w:val="001D510F"/>
    <w:rsid w:val="002210C2"/>
    <w:rsid w:val="00250420"/>
    <w:rsid w:val="002B78C2"/>
    <w:rsid w:val="002F0BA7"/>
    <w:rsid w:val="002F3825"/>
    <w:rsid w:val="00373E74"/>
    <w:rsid w:val="003A2C31"/>
    <w:rsid w:val="003D146E"/>
    <w:rsid w:val="003F07A4"/>
    <w:rsid w:val="00401B60"/>
    <w:rsid w:val="0042366D"/>
    <w:rsid w:val="00424101"/>
    <w:rsid w:val="004814C2"/>
    <w:rsid w:val="004C7679"/>
    <w:rsid w:val="005D1C8B"/>
    <w:rsid w:val="005E2D82"/>
    <w:rsid w:val="006205E3"/>
    <w:rsid w:val="00627BDF"/>
    <w:rsid w:val="0063334D"/>
    <w:rsid w:val="00682B32"/>
    <w:rsid w:val="006E2599"/>
    <w:rsid w:val="007001A7"/>
    <w:rsid w:val="007C1EAA"/>
    <w:rsid w:val="007F0548"/>
    <w:rsid w:val="008077D5"/>
    <w:rsid w:val="00897580"/>
    <w:rsid w:val="00902107"/>
    <w:rsid w:val="009450D3"/>
    <w:rsid w:val="009D2E15"/>
    <w:rsid w:val="00A1509C"/>
    <w:rsid w:val="00A51A2D"/>
    <w:rsid w:val="00AA78A6"/>
    <w:rsid w:val="00B63A75"/>
    <w:rsid w:val="00B66957"/>
    <w:rsid w:val="00BF24FC"/>
    <w:rsid w:val="00C06368"/>
    <w:rsid w:val="00C2002D"/>
    <w:rsid w:val="00C41A7B"/>
    <w:rsid w:val="00C5628C"/>
    <w:rsid w:val="00DD37C5"/>
    <w:rsid w:val="00E24DF7"/>
    <w:rsid w:val="00E456D2"/>
    <w:rsid w:val="00E53D7E"/>
    <w:rsid w:val="00E708E3"/>
    <w:rsid w:val="00E71A6C"/>
    <w:rsid w:val="00F53F57"/>
    <w:rsid w:val="00F61E8F"/>
    <w:rsid w:val="00FA7622"/>
    <w:rsid w:val="00FD6220"/>
    <w:rsid w:val="00FD6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character" w:customStyle="1" w:styleId="Questionarie-instanceQuestion-text">
    <w:name w:val="Questionarie-instance_Question-text"/>
    <w:basedOn w:val="DefaultParagraphFont"/>
    <w:rPr>
      <w:b/>
      <w:bCs/>
      <w:bdr w:val="nil"/>
    </w:rPr>
  </w:style>
  <w:style w:type="table" w:customStyle="1" w:styleId="Question-group-table">
    <w:name w:val="Question-group-table"/>
    <w:tblPr>
      <w:tblCellMar>
        <w:top w:w="0" w:type="dxa"/>
        <w:left w:w="0" w:type="dxa"/>
        <w:bottom w:w="0" w:type="dxa"/>
        <w:right w:w="0" w:type="dxa"/>
      </w:tblCellMar>
    </w:tblPr>
  </w:style>
  <w:style w:type="table" w:customStyle="1" w:styleId="TableGrid1">
    <w:name w:val="Table Grid1"/>
    <w:basedOn w:val="TableNormal"/>
    <w:next w:val="TableGrid"/>
    <w:rsid w:val="00FD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D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B60"/>
    <w:rPr>
      <w:rFonts w:ascii="Tahoma" w:hAnsi="Tahoma" w:cs="Tahoma"/>
      <w:sz w:val="16"/>
      <w:szCs w:val="16"/>
    </w:rPr>
  </w:style>
  <w:style w:type="character" w:customStyle="1" w:styleId="BalloonTextChar">
    <w:name w:val="Balloon Text Char"/>
    <w:basedOn w:val="DefaultParagraphFont"/>
    <w:link w:val="BalloonText"/>
    <w:uiPriority w:val="99"/>
    <w:semiHidden/>
    <w:rsid w:val="00401B60"/>
    <w:rPr>
      <w:rFonts w:ascii="Tahoma" w:hAnsi="Tahoma" w:cs="Tahoma"/>
      <w:sz w:val="16"/>
      <w:szCs w:val="16"/>
      <w:bdr w:val="nil"/>
    </w:rPr>
  </w:style>
  <w:style w:type="character" w:styleId="Hyperlink">
    <w:name w:val="Hyperlink"/>
    <w:basedOn w:val="DefaultParagraphFont"/>
    <w:uiPriority w:val="99"/>
    <w:unhideWhenUsed/>
    <w:rsid w:val="009450D3"/>
    <w:rPr>
      <w:color w:val="0000FF" w:themeColor="hyperlink"/>
      <w:u w:val="single"/>
    </w:rPr>
  </w:style>
  <w:style w:type="character" w:styleId="FollowedHyperlink">
    <w:name w:val="FollowedHyperlink"/>
    <w:basedOn w:val="DefaultParagraphFont"/>
    <w:uiPriority w:val="99"/>
    <w:semiHidden/>
    <w:unhideWhenUsed/>
    <w:rsid w:val="00C200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character" w:customStyle="1" w:styleId="Questionarie-instanceQuestion-text">
    <w:name w:val="Questionarie-instance_Question-text"/>
    <w:basedOn w:val="DefaultParagraphFont"/>
    <w:rPr>
      <w:b/>
      <w:bCs/>
      <w:bdr w:val="nil"/>
    </w:rPr>
  </w:style>
  <w:style w:type="table" w:customStyle="1" w:styleId="Question-group-table">
    <w:name w:val="Question-group-table"/>
    <w:tblPr>
      <w:tblCellMar>
        <w:top w:w="0" w:type="dxa"/>
        <w:left w:w="0" w:type="dxa"/>
        <w:bottom w:w="0" w:type="dxa"/>
        <w:right w:w="0" w:type="dxa"/>
      </w:tblCellMar>
    </w:tblPr>
  </w:style>
  <w:style w:type="table" w:customStyle="1" w:styleId="TableGrid1">
    <w:name w:val="Table Grid1"/>
    <w:basedOn w:val="TableNormal"/>
    <w:next w:val="TableGrid"/>
    <w:rsid w:val="00FD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D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B60"/>
    <w:rPr>
      <w:rFonts w:ascii="Tahoma" w:hAnsi="Tahoma" w:cs="Tahoma"/>
      <w:sz w:val="16"/>
      <w:szCs w:val="16"/>
    </w:rPr>
  </w:style>
  <w:style w:type="character" w:customStyle="1" w:styleId="BalloonTextChar">
    <w:name w:val="Balloon Text Char"/>
    <w:basedOn w:val="DefaultParagraphFont"/>
    <w:link w:val="BalloonText"/>
    <w:uiPriority w:val="99"/>
    <w:semiHidden/>
    <w:rsid w:val="00401B60"/>
    <w:rPr>
      <w:rFonts w:ascii="Tahoma" w:hAnsi="Tahoma" w:cs="Tahoma"/>
      <w:sz w:val="16"/>
      <w:szCs w:val="16"/>
      <w:bdr w:val="nil"/>
    </w:rPr>
  </w:style>
  <w:style w:type="character" w:styleId="Hyperlink">
    <w:name w:val="Hyperlink"/>
    <w:basedOn w:val="DefaultParagraphFont"/>
    <w:uiPriority w:val="99"/>
    <w:unhideWhenUsed/>
    <w:rsid w:val="009450D3"/>
    <w:rPr>
      <w:color w:val="0000FF" w:themeColor="hyperlink"/>
      <w:u w:val="single"/>
    </w:rPr>
  </w:style>
  <w:style w:type="character" w:styleId="FollowedHyperlink">
    <w:name w:val="FollowedHyperlink"/>
    <w:basedOn w:val="DefaultParagraphFont"/>
    <w:uiPriority w:val="99"/>
    <w:semiHidden/>
    <w:unhideWhenUsed/>
    <w:rsid w:val="00C20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1529">
      <w:bodyDiv w:val="1"/>
      <w:marLeft w:val="0"/>
      <w:marRight w:val="0"/>
      <w:marTop w:val="0"/>
      <w:marBottom w:val="0"/>
      <w:divBdr>
        <w:top w:val="none" w:sz="0" w:space="0" w:color="auto"/>
        <w:left w:val="none" w:sz="0" w:space="0" w:color="auto"/>
        <w:bottom w:val="none" w:sz="0" w:space="0" w:color="auto"/>
        <w:right w:val="none" w:sz="0" w:space="0" w:color="auto"/>
      </w:divBdr>
    </w:div>
    <w:div w:id="2135366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fis.dk/sitecontent.jsp?sitecontent=RTTE_sub-classes" TargetMode="External"/><Relationship Id="rId11" Type="http://schemas.openxmlformats.org/officeDocument/2006/relationships/image" Target="media/image3.png"/><Relationship Id="rId5" Type="http://schemas.openxmlformats.org/officeDocument/2006/relationships/image" Target="media/image1.wmf"/><Relationship Id="rId10" Type="http://schemas.openxmlformats.org/officeDocument/2006/relationships/hyperlink" Target="http://www.erodocdb.dk/doks/implement_doc_adm.aspx?docid=2309" TargetMode="External"/><Relationship Id="rId4" Type="http://schemas.openxmlformats.org/officeDocument/2006/relationships/webSettings" Target="webSettings.xml"/><Relationship Id="rId9" Type="http://schemas.openxmlformats.org/officeDocument/2006/relationships/hyperlink" Target="http://www.pts.se/sv/Dokument/Foreskrifter/Spektrum/Post--och-telestyrelsens-foreskrifter-om-undantag-fran-tillstandsplikt-for-anvandning-av-vissa-radiosand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4366</Words>
  <Characters>26633</Characters>
  <Application>Microsoft Office Word</Application>
  <DocSecurity>0</DocSecurity>
  <Lines>221</Lines>
  <Paragraphs>61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sdvsdv</vt:lpstr>
      <vt:lpstr>sdvsdv</vt:lpstr>
      <vt:lpstr>sdvsdv</vt:lpstr>
    </vt:vector>
  </TitlesOfParts>
  <Company>ANFR</Company>
  <LinksUpToDate>false</LinksUpToDate>
  <CharactersWithSpaces>30938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sdvsdv</dc:title>
  <dc:creator>Thomas Weber</dc:creator>
  <cp:lastModifiedBy>Bente Pedersen</cp:lastModifiedBy>
  <cp:revision>2</cp:revision>
  <cp:lastPrinted>2014-12-17T08:25:00Z</cp:lastPrinted>
  <dcterms:created xsi:type="dcterms:W3CDTF">2016-08-16T09:24:00Z</dcterms:created>
  <dcterms:modified xsi:type="dcterms:W3CDTF">2016-08-16T09:24:00Z</dcterms:modified>
</cp:coreProperties>
</file>