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54FC" w:rsidRDefault="008A54FC"/>
    <w:p w:rsidR="008A54FC" w:rsidRPr="0010769E" w:rsidRDefault="008A54FC" w:rsidP="008A54FC">
      <w:pPr>
        <w:jc w:val="center"/>
      </w:pPr>
    </w:p>
    <w:p w:rsidR="008A54FC" w:rsidRPr="0010769E" w:rsidRDefault="008A54FC" w:rsidP="008A54FC">
      <w:pPr>
        <w:jc w:val="center"/>
      </w:pPr>
    </w:p>
    <w:p w:rsidR="008A54FC" w:rsidRPr="0010769E" w:rsidRDefault="008A54FC" w:rsidP="008A54FC"/>
    <w:p w:rsidR="008A54FC" w:rsidRPr="0010769E" w:rsidRDefault="008A54FC" w:rsidP="008A54FC"/>
    <w:p w:rsidR="008A54FC" w:rsidRPr="0010769E" w:rsidRDefault="00DF2C67" w:rsidP="008A54FC">
      <w:pPr>
        <w:jc w:val="center"/>
        <w:rPr>
          <w:b/>
          <w:sz w:val="24"/>
        </w:rPr>
      </w:pPr>
      <w:r>
        <w:rPr>
          <w:b/>
          <w:noProof/>
          <w:sz w:val="24"/>
          <w:szCs w:val="20"/>
          <w:lang w:val="da-DK" w:eastAsia="da-DK"/>
        </w:rPr>
        <mc:AlternateContent>
          <mc:Choice Requires="wps">
            <w:drawing>
              <wp:anchor distT="0" distB="0" distL="114300" distR="114300" simplePos="0" relativeHeight="251656192" behindDoc="0" locked="0" layoutInCell="1" allowOverlap="1">
                <wp:simplePos x="0" y="0"/>
                <wp:positionH relativeFrom="page">
                  <wp:posOffset>0</wp:posOffset>
                </wp:positionH>
                <wp:positionV relativeFrom="page">
                  <wp:posOffset>1714500</wp:posOffset>
                </wp:positionV>
                <wp:extent cx="7560310" cy="1628140"/>
                <wp:effectExtent l="0" t="0" r="0" b="0"/>
                <wp:wrapNone/>
                <wp:docPr id="1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310" cy="1628140"/>
                        </a:xfrm>
                        <a:prstGeom prst="rect">
                          <a:avLst/>
                        </a:prstGeom>
                        <a:solidFill>
                          <a:srgbClr val="887E6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F612F" w:rsidRPr="00080D86" w:rsidRDefault="008F612F" w:rsidP="008A54FC">
                            <w:pPr>
                              <w:rPr>
                                <w:sz w:val="68"/>
                              </w:rPr>
                            </w:pPr>
                            <w:r w:rsidRPr="00080D86">
                              <w:rPr>
                                <w:color w:val="FFFFFF"/>
                                <w:sz w:val="68"/>
                              </w:rPr>
                              <w:t xml:space="preserve">ECC Report </w:t>
                            </w:r>
                            <w:r>
                              <w:rPr>
                                <w:color w:val="57433E"/>
                                <w:sz w:val="68"/>
                              </w:rPr>
                              <w:t>182</w:t>
                            </w:r>
                          </w:p>
                        </w:txbxContent>
                      </wps:txbx>
                      <wps:bodyPr rot="0" vert="horz" wrap="square" lIns="2880000" tIns="5400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0;margin-top:135pt;width:595.3pt;height:128.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" fillcolor="#887e6e" stroked="f">
                <v:textbox inset="80mm,15mm">
                  <w:txbxContent>
                    <w:p w:rsidR="008F612F" w:rsidRPr="00080D86" w:rsidRDefault="008F612F" w:rsidP="008A54FC">
                      <w:pPr>
                        <w:rPr>
                          <w:sz w:val="68"/>
                        </w:rPr>
                      </w:pPr>
                      <w:r w:rsidRPr="00080D86">
                        <w:rPr>
                          <w:color w:val="FFFFFF"/>
                          <w:sz w:val="68"/>
                        </w:rPr>
                        <w:t xml:space="preserve">ECC Report </w:t>
                      </w:r>
                      <w:r>
                        <w:rPr>
                          <w:color w:val="57433E"/>
                          <w:sz w:val="68"/>
                        </w:rPr>
                        <w:t>182</w:t>
                      </w:r>
                    </w:p>
                  </w:txbxContent>
                </v:textbox>
                <w10:wrap anchorx="page" anchory="page"/>
              </v:shape>
            </w:pict>
          </mc:Fallback>
        </mc:AlternateContent>
      </w:r>
      <w:r>
        <w:rPr>
          <w:b/>
          <w:noProof/>
          <w:sz w:val="24"/>
          <w:szCs w:val="20"/>
          <w:lang w:val="da-DK" w:eastAsia="da-DK"/>
        </w:rPr>
        <mc:AlternateContent>
          <mc:Choice Requires="wpg">
            <w:drawing>
              <wp:anchor distT="0" distB="0" distL="114300" distR="114300" simplePos="0" relativeHeight="251657216" behindDoc="0" locked="0" layoutInCell="1" allowOverlap="1">
                <wp:simplePos x="0" y="0"/>
                <wp:positionH relativeFrom="page">
                  <wp:posOffset>828040</wp:posOffset>
                </wp:positionH>
                <wp:positionV relativeFrom="paragraph">
                  <wp:posOffset>97790</wp:posOffset>
                </wp:positionV>
                <wp:extent cx="1703705" cy="1564640"/>
                <wp:effectExtent l="0" t="104140" r="0" b="20320"/>
                <wp:wrapNone/>
                <wp:docPr id="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3705" cy="1564640"/>
                          <a:chOff x="431" y="2744"/>
                          <a:chExt cx="2683" cy="2464"/>
                        </a:xfrm>
                      </wpg:grpSpPr>
                      <wps:wsp>
                        <wps:cNvPr id="9" name="Line 11"/>
                        <wps:cNvCnPr/>
                        <wps:spPr bwMode="auto">
                          <a:xfrm rot="2700000">
                            <a:off x="1265" y="2646"/>
                            <a:ext cx="14" cy="1682"/>
                          </a:xfrm>
                          <a:prstGeom prst="line">
                            <a:avLst/>
                          </a:prstGeom>
                          <a:noFill/>
                          <a:ln w="190500">
                            <a:solidFill>
                              <a:srgbClr val="D2232A"/>
                            </a:solidFill>
                            <a:round/>
                            <a:headEnd/>
                            <a:tailEnd/>
                          </a:ln>
                          <a:extLst>
                            <a:ext uri="{909E8E84-426E-40DD-AFC4-6F175D3DCCD1}">
                              <a14:hiddenFill xmlns:a14="http://schemas.microsoft.com/office/drawing/2010/main">
                                <a:noFill/>
                              </a14:hiddenFill>
                            </a:ext>
                          </a:extLst>
                        </wps:spPr>
                        <wps:bodyPr/>
                      </wps:wsp>
                      <wps:wsp>
                        <wps:cNvPr id="10" name="Line 12"/>
                        <wps:cNvCnPr/>
                        <wps:spPr bwMode="auto">
                          <a:xfrm rot="2700000" flipH="1">
                            <a:off x="574" y="4478"/>
                            <a:ext cx="1431" cy="0"/>
                          </a:xfrm>
                          <a:prstGeom prst="line">
                            <a:avLst/>
                          </a:prstGeom>
                          <a:noFill/>
                          <a:ln w="190500">
                            <a:solidFill>
                              <a:srgbClr val="D2232A"/>
                            </a:solidFill>
                            <a:round/>
                            <a:headEnd/>
                            <a:tailEnd/>
                          </a:ln>
                          <a:extLst>
                            <a:ext uri="{909E8E84-426E-40DD-AFC4-6F175D3DCCD1}">
                              <a14:hiddenFill xmlns:a14="http://schemas.microsoft.com/office/drawing/2010/main">
                                <a:noFill/>
                              </a14:hiddenFill>
                            </a:ext>
                          </a:extLst>
                        </wps:spPr>
                        <wps:bodyPr/>
                      </wps:wsp>
                      <wps:wsp>
                        <wps:cNvPr id="11" name="Line 13"/>
                        <wps:cNvCnPr/>
                        <wps:spPr bwMode="auto">
                          <a:xfrm rot="2700000" flipH="1">
                            <a:off x="2352" y="3653"/>
                            <a:ext cx="1" cy="1555"/>
                          </a:xfrm>
                          <a:prstGeom prst="line">
                            <a:avLst/>
                          </a:prstGeom>
                          <a:noFill/>
                          <a:ln w="190500">
                            <a:solidFill>
                              <a:srgbClr val="FFFFFF"/>
                            </a:solidFill>
                            <a:round/>
                            <a:headEnd/>
                            <a:tailEnd/>
                          </a:ln>
                          <a:extLst>
                            <a:ext uri="{909E8E84-426E-40DD-AFC4-6F175D3DCCD1}">
                              <a14:hiddenFill xmlns:a14="http://schemas.microsoft.com/office/drawing/2010/main">
                                <a:noFill/>
                              </a14:hiddenFill>
                            </a:ext>
                          </a:extLst>
                        </wps:spPr>
                        <wps:bodyPr/>
                      </wps:wsp>
                      <wps:wsp>
                        <wps:cNvPr id="12" name="Line 14"/>
                        <wps:cNvCnPr/>
                        <wps:spPr bwMode="auto">
                          <a:xfrm rot="2700000" flipH="1">
                            <a:off x="1566" y="3520"/>
                            <a:ext cx="1548" cy="1"/>
                          </a:xfrm>
                          <a:prstGeom prst="line">
                            <a:avLst/>
                          </a:prstGeom>
                          <a:noFill/>
                          <a:ln w="190500">
                            <a:solidFill>
                              <a:srgbClr val="FFFFFF"/>
                            </a:solidFill>
                            <a:round/>
                            <a:headEnd/>
                            <a:tailEnd/>
                          </a:ln>
                          <a:extLst>
                            <a:ext uri="{909E8E84-426E-40DD-AFC4-6F175D3DCCD1}">
                              <a14:hiddenFill xmlns:a14="http://schemas.microsoft.com/office/drawing/2010/main">
                                <a:noFill/>
                              </a14:hiddenFill>
                            </a:ext>
                          </a:extLst>
                        </wps:spPr>
                        <wps:bodyPr/>
                      </wps:wsp>
                      <wps:wsp>
                        <wps:cNvPr id="13" name="Line 15"/>
                        <wps:cNvCnPr/>
                        <wps:spPr bwMode="auto">
                          <a:xfrm>
                            <a:off x="1797" y="2744"/>
                            <a:ext cx="1" cy="2340"/>
                          </a:xfrm>
                          <a:prstGeom prst="line">
                            <a:avLst/>
                          </a:prstGeom>
                          <a:noFill/>
                          <a:ln w="196850">
                            <a:solidFill>
                              <a:srgbClr val="887E6E"/>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8" o:spid="_x0000_s1026" style="position:absolute;margin-left:65.2pt;margin-top:7.7pt;width:134.15pt;height:123.2pt;z-index:251657216;mso-position-horizontal-relative:page" coordorigin="431,2744" coordsize="2683,2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">
                <v:line id="Line 11" o:spid="_x0000_s1027" style="position:absolute;rotation:45;visibility:visible;mso-wrap-style:square" from="1265,2646" to="1279,43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Xr5MQAAADaAAAADwAAAGRycy9kb3ducmV2LnhtbESPT2vCQBTE74V+h+UVvNVNK4YYXaUU&#10;xT940Va8PrLPJJh9G3ZXjd/eFQo9DjPzG2Yy60wjruR8bVnBRz8BQVxYXXOp4Pdn8Z6B8AFZY2OZ&#10;FNzJw2z6+jLBXNsb7+i6D6WIEPY5KqhCaHMpfVGRQd+3LXH0TtYZDFG6UmqHtwg3jfxMklQarDku&#10;VNjSd0XFeX8xCpbZdp4ei1G9QZdmh8VlfdwMhkr13rqvMYhAXfgP/7VXWsEInlfiDZDT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NevkxAAAANoAAAAPAAAAAAAAAAAA&#10;AAAAAKECAABkcnMvZG93bnJldi54bWxQSwUGAAAAAAQABAD5AAAAkgMAAAAA&#10;" strokecolor="#d2232a" strokeweight="15pt"/>
                <v:line id="Line 12" o:spid="_x0000_s1028" style="position:absolute;rotation:-45;flip:x;visibility:visible;mso-wrap-style:square" from="574,4478" to="2005,4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VgDcEAAADbAAAADwAAAGRycy9kb3ducmV2LnhtbESPQYvCQAyF74L/YYjgTacKylIdRQRB&#10;T7quHrzFTmyrnUzpjFr//eawsLeE9/Lel/mydZV6URNKzwZGwwQUceZtybmB089m8AUqRGSLlWcy&#10;8KEAy0W3M8fU+jd/0+sYcyUhHFI0UMRYp1qHrCCHYehrYtFuvnEYZW1ybRt8S7ir9DhJptphydJQ&#10;YE3rgrLH8ekM0JXO9xsRHibTy8TlH73bhL0x/V67moGK1MZ/89/11gq+0MsvMoBe/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FhWANwQAAANsAAAAPAAAAAAAAAAAAAAAA&#10;AKECAABkcnMvZG93bnJldi54bWxQSwUGAAAAAAQABAD5AAAAjwMAAAAA&#10;" strokecolor="#d2232a" strokeweight="15pt"/>
                <v:line id="Line 13" o:spid="_x0000_s1029" style="position:absolute;rotation:-45;flip:x;visibility:visible;mso-wrap-style:square" from="2352,3653" to="2353,52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J2/9sMAAADbAAAADwAAAGRycy9kb3ducmV2LnhtbERPTWvCQBC9C/0PyxR6EbOxBZE0q1ih&#10;RQ8FY4t4HLLTJDQ7G3fXmP77riB4m8f7nHw5mFb05HxjWcE0SUEQl1Y3XCn4/nqfzEH4gKyxtUwK&#10;/sjDcvEwyjHT9sIF9ftQiRjCPkMFdQhdJqUvazLoE9sRR+7HOoMhQldJ7fASw00rn9N0Jg02HBtq&#10;7GhdU/m7PxsFZ3dC9zF+w8PusArt8aXY9p+FUk+Pw+oVRKAh3MU390bH+VO4/h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ydv/bDAAAA2wAAAA8AAAAAAAAAAAAA&#10;AAAAoQIAAGRycy9kb3ducmV2LnhtbFBLBQYAAAAABAAEAPkAAACRAwAAAAA=&#10;" strokecolor="white" strokeweight="15pt"/>
                <v:line id="Line 14" o:spid="_x0000_s1030" style="position:absolute;rotation:-45;flip:x;visibility:visible;mso-wrap-style:square" from="1566,3520" to="3114,35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8hgcMAAADbAAAADwAAAGRycy9kb3ducmV2LnhtbERPTWvCQBC9F/wPywheitnUgpQ0q2hB&#10;aQ9CY4t4HLLTJJidjbtrTP+9WxB6m8f7nHw5mFb05HxjWcFTkoIgLq1uuFLw/bWZvoDwAVlja5kU&#10;/JKH5WL0kGOm7ZUL6vehEjGEfYYK6hC6TEpf1mTQJ7YjjtyPdQZDhK6S2uE1hptWztJ0Lg02HBtq&#10;7OitpvK0vxgFF3dGt31c4+HzsArt8bn46HeFUpPxsHoFEWgI/+K7+13H+TP4+yUeIB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xPIYHDAAAA2wAAAA8AAAAAAAAAAAAA&#10;AAAAoQIAAGRycy9kb3ducmV2LnhtbFBLBQYAAAAABAAEAPkAAACRAwAAAAA=&#10;" strokecolor="white" strokeweight="15pt"/>
                <v:line id="Line 15" o:spid="_x0000_s1031" style="position:absolute;visibility:visible;mso-wrap-style:square" from="1797,2744" to="1798,5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3PThcEAAADbAAAADwAAAGRycy9kb3ducmV2LnhtbERPTWvCQBC9C/0PyxR6000tiE1dJUgD&#10;3rSa0OuQnWZDs7Npdk3iv3cLhd7m8T5ns5tsKwbqfeNYwfMiAUFcOd1wraC45PM1CB+QNbaOScGN&#10;POy2D7MNptqN/EHDOdQihrBPUYEJoUul9JUhi37hOuLIfbneYoiwr6XucYzhtpXLJFlJiw3HBoMd&#10;7Q1V3+erVZBlyWe7L8r8uNTm/VT+4Ou4Xin19DhlbyACTeFf/Oc+6Dj/BX5/iQfI7R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rc9OFwQAAANsAAAAPAAAAAAAAAAAAAAAA&#10;AKECAABkcnMvZG93bnJldi54bWxQSwUGAAAAAAQABAD5AAAAjwMAAAAA&#10;" strokecolor="#887e6e" strokeweight="15.5pt"/>
                <w10:wrap anchorx="page"/>
              </v:group>
            </w:pict>
          </mc:Fallback>
        </mc:AlternateContent>
      </w:r>
    </w:p>
    <w:p w:rsidR="008A54FC" w:rsidRPr="0010769E" w:rsidRDefault="008A54FC" w:rsidP="008A54FC">
      <w:pPr>
        <w:jc w:val="center"/>
        <w:rPr>
          <w:b/>
          <w:sz w:val="24"/>
        </w:rPr>
      </w:pPr>
    </w:p>
    <w:p w:rsidR="008A54FC" w:rsidRPr="0010769E" w:rsidRDefault="008A54FC" w:rsidP="008A54FC">
      <w:pPr>
        <w:jc w:val="center"/>
        <w:rPr>
          <w:b/>
          <w:sz w:val="24"/>
        </w:rPr>
      </w:pPr>
    </w:p>
    <w:p w:rsidR="008A54FC" w:rsidRPr="0010769E" w:rsidRDefault="008A54FC" w:rsidP="008A54FC">
      <w:pPr>
        <w:jc w:val="center"/>
        <w:rPr>
          <w:b/>
          <w:sz w:val="24"/>
        </w:rPr>
      </w:pPr>
    </w:p>
    <w:p w:rsidR="008A54FC" w:rsidRPr="0010769E" w:rsidRDefault="008A54FC" w:rsidP="008A54FC">
      <w:pPr>
        <w:jc w:val="center"/>
        <w:rPr>
          <w:b/>
          <w:sz w:val="24"/>
        </w:rPr>
      </w:pPr>
    </w:p>
    <w:p w:rsidR="008A54FC" w:rsidRPr="0010769E" w:rsidRDefault="008A54FC" w:rsidP="008A54FC">
      <w:pPr>
        <w:jc w:val="center"/>
        <w:rPr>
          <w:b/>
          <w:sz w:val="24"/>
        </w:rPr>
      </w:pPr>
    </w:p>
    <w:p w:rsidR="008A54FC" w:rsidRPr="0010769E" w:rsidRDefault="008A54FC" w:rsidP="008A54FC">
      <w:pPr>
        <w:jc w:val="center"/>
        <w:rPr>
          <w:b/>
          <w:sz w:val="24"/>
        </w:rPr>
      </w:pPr>
    </w:p>
    <w:p w:rsidR="008A54FC" w:rsidRPr="0010769E" w:rsidRDefault="008A54FC" w:rsidP="008A54FC">
      <w:pPr>
        <w:jc w:val="center"/>
        <w:rPr>
          <w:b/>
          <w:sz w:val="24"/>
        </w:rPr>
      </w:pPr>
    </w:p>
    <w:p w:rsidR="008A54FC" w:rsidRPr="0010769E" w:rsidRDefault="008A54FC" w:rsidP="008A54FC">
      <w:pPr>
        <w:jc w:val="center"/>
        <w:rPr>
          <w:b/>
          <w:sz w:val="24"/>
        </w:rPr>
      </w:pPr>
    </w:p>
    <w:p w:rsidR="008A54FC" w:rsidRPr="0010769E" w:rsidRDefault="008A54FC" w:rsidP="008A54FC">
      <w:pPr>
        <w:jc w:val="center"/>
        <w:rPr>
          <w:b/>
          <w:sz w:val="24"/>
        </w:rPr>
      </w:pPr>
    </w:p>
    <w:p w:rsidR="008A54FC" w:rsidRPr="0010769E" w:rsidRDefault="008A54FC" w:rsidP="008A54FC">
      <w:pPr>
        <w:jc w:val="center"/>
        <w:rPr>
          <w:b/>
          <w:sz w:val="24"/>
        </w:rPr>
      </w:pPr>
    </w:p>
    <w:p w:rsidR="008A54FC" w:rsidRPr="0010769E" w:rsidRDefault="008A54FC" w:rsidP="008A54FC">
      <w:pPr>
        <w:rPr>
          <w:b/>
          <w:sz w:val="24"/>
        </w:rPr>
      </w:pPr>
    </w:p>
    <w:p w:rsidR="008A54FC" w:rsidRPr="0010769E" w:rsidRDefault="008A54FC" w:rsidP="008A54FC">
      <w:pPr>
        <w:jc w:val="center"/>
        <w:rPr>
          <w:b/>
          <w:sz w:val="24"/>
        </w:rPr>
      </w:pPr>
    </w:p>
    <w:p w:rsidR="008A54FC" w:rsidRPr="005A00E5" w:rsidRDefault="008E3FB3" w:rsidP="009E47EB">
      <w:pPr>
        <w:pStyle w:val="Reporttitledescription"/>
      </w:pPr>
      <w:r>
        <w:t xml:space="preserve">Survey about the use </w:t>
      </w:r>
      <w:r w:rsidR="008E718D" w:rsidRPr="00F85709">
        <w:t>of the frequency band 863-870 MHz</w:t>
      </w:r>
    </w:p>
    <w:p w:rsidR="008A54FC" w:rsidRPr="005A00E5" w:rsidRDefault="008F612F" w:rsidP="008A54FC">
      <w:pPr>
        <w:pStyle w:val="Reporttitledescription"/>
        <w:rPr>
          <w:b/>
          <w:sz w:val="18"/>
        </w:rPr>
      </w:pPr>
      <w:r>
        <w:rPr>
          <w:b/>
          <w:sz w:val="18"/>
        </w:rPr>
        <w:t>September2012</w:t>
      </w:r>
    </w:p>
    <w:p w:rsidR="008A54FC" w:rsidRPr="00FE1795" w:rsidRDefault="00DF2C67" w:rsidP="008A54FC">
      <w:pPr>
        <w:pStyle w:val="Lastupdated"/>
      </w:pPr>
      <w:r>
        <w:rPr>
          <w:bCs w:val="0"/>
          <w:noProof/>
          <w:szCs w:val="20"/>
          <w:lang w:val="da-DK" w:eastAsia="da-DK"/>
        </w:rPr>
        <mc:AlternateContent>
          <mc:Choice Requires="wps">
            <w:drawing>
              <wp:anchor distT="0" distB="0" distL="114300" distR="114300" simplePos="0" relativeHeight="251655168" behindDoc="0" locked="0" layoutInCell="1" allowOverlap="1" wp14:anchorId="1FDA3520" wp14:editId="1134DE3A">
                <wp:simplePos x="0" y="0"/>
                <wp:positionH relativeFrom="page">
                  <wp:posOffset>3810</wp:posOffset>
                </wp:positionH>
                <wp:positionV relativeFrom="page">
                  <wp:posOffset>9803765</wp:posOffset>
                </wp:positionV>
                <wp:extent cx="7560310" cy="179705"/>
                <wp:effectExtent l="3810" t="0" r="5080" b="0"/>
                <wp:wrapNone/>
                <wp:docPr id="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179705"/>
                        </a:xfrm>
                        <a:prstGeom prst="rect">
                          <a:avLst/>
                        </a:prstGeom>
                        <a:solidFill>
                          <a:srgbClr val="887E6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5400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margin-left:.3pt;margin-top:771.95pt;width:595.3pt;height:14.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" fillcolor="#887e6e" stroked="f">
                <v:textbox inset=",15mm"/>
                <w10:wrap anchorx="page" anchory="page"/>
              </v:rect>
            </w:pict>
          </mc:Fallback>
        </mc:AlternateContent>
      </w:r>
    </w:p>
    <w:p w:rsidR="008A54FC" w:rsidRDefault="008A54FC">
      <w:pPr>
        <w:rPr>
          <w:lang w:val="en-GB"/>
        </w:rPr>
        <w:sectPr w:rsidR="008A54FC">
          <w:headerReference w:type="even" r:id="rId9"/>
          <w:headerReference w:type="default" r:id="rId10"/>
          <w:headerReference w:type="first" r:id="rId11"/>
          <w:pgSz w:w="11907" w:h="16840" w:code="9"/>
          <w:pgMar w:top="1440" w:right="1134" w:bottom="1440" w:left="1134" w:header="709" w:footer="709" w:gutter="0"/>
          <w:cols w:space="708"/>
          <w:titlePg/>
          <w:docGrid w:linePitch="360"/>
        </w:sectPr>
      </w:pPr>
    </w:p>
    <w:p w:rsidR="008A54FC" w:rsidRDefault="009E51D5" w:rsidP="00A472B6">
      <w:pPr>
        <w:pStyle w:val="Heading1"/>
      </w:pPr>
      <w:bookmarkStart w:id="0" w:name="_Toc323545842"/>
      <w:r>
        <w:lastRenderedPageBreak/>
        <w:t>Executive summary</w:t>
      </w:r>
      <w:bookmarkEnd w:id="0"/>
    </w:p>
    <w:p w:rsidR="008E718D" w:rsidRPr="00ED7BE1" w:rsidRDefault="008E718D" w:rsidP="008E718D">
      <w:pPr>
        <w:pStyle w:val="ECCParagraph"/>
      </w:pPr>
      <w:r w:rsidRPr="00ED7BE1">
        <w:t xml:space="preserve">WGFM adopted at their September 2010 meeting a questionnaire on the use of the frequency band </w:t>
      </w:r>
      <w:r w:rsidR="001A06A7">
        <w:br/>
      </w:r>
      <w:r w:rsidRPr="00ED7BE1">
        <w:t>863-870 MHz by Short Range Devices (SRD).</w:t>
      </w:r>
    </w:p>
    <w:p w:rsidR="008E718D" w:rsidRPr="00ED7BE1" w:rsidRDefault="008E718D" w:rsidP="008E718D">
      <w:pPr>
        <w:pStyle w:val="ECCParagraph"/>
      </w:pPr>
      <w:r w:rsidRPr="00ED7BE1">
        <w:t>In total, 76 responses were received at the European Communications Office (ECO)</w:t>
      </w:r>
      <w:r>
        <w:t>.</w:t>
      </w:r>
    </w:p>
    <w:p w:rsidR="008E718D" w:rsidRDefault="008E718D" w:rsidP="008E718D">
      <w:pPr>
        <w:pStyle w:val="ECCParagraph"/>
        <w:rPr>
          <w:rFonts w:cs="Arial"/>
        </w:rPr>
      </w:pPr>
      <w:r w:rsidRPr="00850D4D">
        <w:rPr>
          <w:rFonts w:cs="Arial"/>
        </w:rPr>
        <w:t>SRD/MG endorsed the ECO summary and made some suggestions for further improvement. It was considered that the type of questionnaire demonstrated that it was very good at collecting market and usage information but at the same time difficult to summarise, evaluate and draw conclusions. A lot of suggestions from the responders would need time for evaluating of them. SRD/MG#52 agreed to work via correspondence on the subject and to include boxes below the individual question summary with the aim to identify the preliminary SRD/MG conclusions in these boxes. This correspondence work was agreed to be carried out via the ECO Forum and all proposals to be consolidated by means of t</w:t>
      </w:r>
      <w:r>
        <w:rPr>
          <w:rFonts w:cs="Arial"/>
        </w:rPr>
        <w:t xml:space="preserve">hree </w:t>
      </w:r>
      <w:r w:rsidRPr="00850D4D">
        <w:rPr>
          <w:rFonts w:cs="Arial"/>
        </w:rPr>
        <w:t>electronic meetings (3 -4 May 2011)</w:t>
      </w:r>
      <w:r>
        <w:rPr>
          <w:rFonts w:cs="Arial"/>
        </w:rPr>
        <w:t>. SRD/MG at their meeting in September 2011 finalised the review and the assessments w</w:t>
      </w:r>
      <w:r w:rsidR="0019635F">
        <w:rPr>
          <w:rFonts w:cs="Arial"/>
        </w:rPr>
        <w:t>ere</w:t>
      </w:r>
      <w:r>
        <w:rPr>
          <w:rFonts w:cs="Arial"/>
        </w:rPr>
        <w:t xml:space="preserve"> provided to WG FM at their October 2011 meeting</w:t>
      </w:r>
      <w:r w:rsidR="0019635F">
        <w:rPr>
          <w:rFonts w:cs="Arial"/>
        </w:rPr>
        <w:t>.</w:t>
      </w:r>
    </w:p>
    <w:p w:rsidR="0019635F" w:rsidRDefault="0019635F" w:rsidP="008E718D">
      <w:pPr>
        <w:pStyle w:val="ECCParagraph"/>
        <w:rPr>
          <w:rFonts w:cs="Arial"/>
        </w:rPr>
      </w:pPr>
      <w:r w:rsidRPr="0019635F">
        <w:rPr>
          <w:rFonts w:cs="Arial"/>
        </w:rPr>
        <w:t>WG FM endorsed the present summary from the ECO and the assessments from the SRD/MG at their 73rd meeting in Lille, October 2011. It is expected that SRD/MG will continue to work on the 863-870 MHz during the UHF Roadmap activities</w:t>
      </w:r>
      <w:r>
        <w:rPr>
          <w:rFonts w:cs="Arial"/>
        </w:rPr>
        <w:t>.</w:t>
      </w:r>
    </w:p>
    <w:p w:rsidR="008A54FC" w:rsidRDefault="008A54FC" w:rsidP="008A54FC">
      <w:r>
        <w:br w:type="page"/>
      </w:r>
    </w:p>
    <w:p w:rsidR="008A54FC" w:rsidRPr="009B4646" w:rsidRDefault="00DF2C67" w:rsidP="008A54FC">
      <w:pPr>
        <w:rPr>
          <w:b/>
          <w:color w:val="FFFFFF"/>
        </w:rPr>
      </w:pPr>
      <w:r>
        <w:rPr>
          <w:b/>
          <w:noProof/>
          <w:color w:val="FFFFFF"/>
          <w:szCs w:val="20"/>
          <w:lang w:val="da-DK" w:eastAsia="da-DK"/>
        </w:rPr>
        <w:lastRenderedPageBreak/>
        <mc:AlternateContent>
          <mc:Choice Requires="wps">
            <w:drawing>
              <wp:anchor distT="0" distB="0" distL="114300" distR="114300" simplePos="0" relativeHeight="251658240" behindDoc="1" locked="0" layoutInCell="1" allowOverlap="1" wp14:anchorId="1FB491A4" wp14:editId="6D4411DF">
                <wp:simplePos x="0" y="0"/>
                <wp:positionH relativeFrom="page">
                  <wp:posOffset>0</wp:posOffset>
                </wp:positionH>
                <wp:positionV relativeFrom="page">
                  <wp:posOffset>900430</wp:posOffset>
                </wp:positionV>
                <wp:extent cx="7560310" cy="720090"/>
                <wp:effectExtent l="0" t="0" r="0" b="5080"/>
                <wp:wrapNone/>
                <wp:docPr id="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720090"/>
                        </a:xfrm>
                        <a:prstGeom prst="rect">
                          <a:avLst/>
                        </a:prstGeom>
                        <a:solidFill>
                          <a:srgbClr val="B0A69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26" style="position:absolute;margin-left:0;margin-top:70.9pt;width:595.3pt;height:56.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" fillcolor="#b0a696" stroked="f">
                <w10:wrap anchorx="page" anchory="page"/>
              </v:rect>
            </w:pict>
          </mc:Fallback>
        </mc:AlternateContent>
      </w:r>
    </w:p>
    <w:p w:rsidR="008B70CD" w:rsidRDefault="008B70CD" w:rsidP="008A54FC">
      <w:pPr>
        <w:rPr>
          <w:b/>
          <w:color w:val="FFFFFF"/>
          <w:szCs w:val="20"/>
        </w:rPr>
      </w:pPr>
    </w:p>
    <w:p w:rsidR="008A54FC" w:rsidRDefault="00763BA3" w:rsidP="008A54FC">
      <w:pPr>
        <w:rPr>
          <w:b/>
          <w:color w:val="FFFFFF"/>
          <w:szCs w:val="20"/>
        </w:rPr>
      </w:pPr>
      <w:r>
        <w:rPr>
          <w:b/>
          <w:color w:val="FFFFFF"/>
          <w:szCs w:val="20"/>
        </w:rPr>
        <w:t>TABLE OF CONTENTS</w:t>
      </w:r>
    </w:p>
    <w:p w:rsidR="008F612F" w:rsidRDefault="008F612F" w:rsidP="008A54FC">
      <w:pPr>
        <w:rPr>
          <w:b/>
          <w:color w:val="FFFFFF"/>
          <w:szCs w:val="20"/>
        </w:rPr>
      </w:pPr>
    </w:p>
    <w:p w:rsidR="008F612F" w:rsidRPr="009B4646" w:rsidRDefault="008F612F" w:rsidP="008A54FC">
      <w:pPr>
        <w:rPr>
          <w:b/>
          <w:color w:val="FFFFFF"/>
          <w:szCs w:val="20"/>
        </w:rPr>
      </w:pPr>
    </w:p>
    <w:p w:rsidR="008A54FC" w:rsidRDefault="008A54FC">
      <w:pPr>
        <w:rPr>
          <w:lang w:val="en-GB"/>
        </w:rPr>
      </w:pPr>
    </w:p>
    <w:p w:rsidR="008A54FC" w:rsidRDefault="008A54FC">
      <w:pPr>
        <w:rPr>
          <w:lang w:val="en-GB"/>
        </w:rPr>
      </w:pPr>
    </w:p>
    <w:p w:rsidR="008A54FC" w:rsidRDefault="008A54FC">
      <w:pPr>
        <w:rPr>
          <w:lang w:val="en-GB"/>
        </w:rPr>
      </w:pPr>
    </w:p>
    <w:p w:rsidR="00A472B6" w:rsidRDefault="008A54FC">
      <w:pPr>
        <w:pStyle w:val="TOC1"/>
        <w:rPr>
          <w:rFonts w:asciiTheme="minorHAnsi" w:eastAsiaTheme="minorEastAsia" w:hAnsiTheme="minorHAnsi" w:cstheme="minorBidi"/>
          <w:b w:val="0"/>
          <w:caps w:val="0"/>
          <w:noProof/>
          <w:sz w:val="22"/>
          <w:szCs w:val="22"/>
          <w:lang w:val="da-DK" w:eastAsia="da-DK"/>
        </w:rPr>
      </w:pPr>
      <w:r>
        <w:rPr>
          <w:caps w:val="0"/>
          <w:lang w:val="en-GB"/>
        </w:rPr>
        <w:fldChar w:fldCharType="begin"/>
      </w:r>
      <w:r>
        <w:rPr>
          <w:caps w:val="0"/>
          <w:lang w:val="en-GB"/>
        </w:rPr>
        <w:instrText xml:space="preserve"> TOC \o "1-4" \h \z \u </w:instrText>
      </w:r>
      <w:r>
        <w:rPr>
          <w:caps w:val="0"/>
          <w:lang w:val="en-GB"/>
        </w:rPr>
        <w:fldChar w:fldCharType="separate"/>
      </w:r>
      <w:hyperlink w:anchor="_Toc323545842" w:history="1">
        <w:r w:rsidR="00A472B6" w:rsidRPr="00501952">
          <w:rPr>
            <w:rStyle w:val="Hyperlink"/>
            <w:noProof/>
          </w:rPr>
          <w:t>0</w:t>
        </w:r>
        <w:r w:rsidR="00A472B6">
          <w:rPr>
            <w:rFonts w:asciiTheme="minorHAnsi" w:eastAsiaTheme="minorEastAsia" w:hAnsiTheme="minorHAnsi" w:cstheme="minorBidi"/>
            <w:b w:val="0"/>
            <w:caps w:val="0"/>
            <w:noProof/>
            <w:sz w:val="22"/>
            <w:szCs w:val="22"/>
            <w:lang w:val="da-DK" w:eastAsia="da-DK"/>
          </w:rPr>
          <w:tab/>
        </w:r>
        <w:r w:rsidR="00A472B6" w:rsidRPr="00501952">
          <w:rPr>
            <w:rStyle w:val="Hyperlink"/>
            <w:noProof/>
          </w:rPr>
          <w:t>Executive summary</w:t>
        </w:r>
        <w:r w:rsidR="00A472B6">
          <w:rPr>
            <w:noProof/>
            <w:webHidden/>
          </w:rPr>
          <w:tab/>
        </w:r>
        <w:r w:rsidR="00A472B6">
          <w:rPr>
            <w:noProof/>
            <w:webHidden/>
          </w:rPr>
          <w:fldChar w:fldCharType="begin"/>
        </w:r>
        <w:r w:rsidR="00A472B6">
          <w:rPr>
            <w:noProof/>
            <w:webHidden/>
          </w:rPr>
          <w:instrText xml:space="preserve"> PAGEREF _Toc323545842 \h </w:instrText>
        </w:r>
        <w:r w:rsidR="00A472B6">
          <w:rPr>
            <w:noProof/>
            <w:webHidden/>
          </w:rPr>
        </w:r>
        <w:r w:rsidR="00A472B6">
          <w:rPr>
            <w:noProof/>
            <w:webHidden/>
          </w:rPr>
          <w:fldChar w:fldCharType="separate"/>
        </w:r>
        <w:r w:rsidR="001A06A7">
          <w:rPr>
            <w:noProof/>
            <w:webHidden/>
          </w:rPr>
          <w:t>2</w:t>
        </w:r>
        <w:r w:rsidR="00A472B6">
          <w:rPr>
            <w:noProof/>
            <w:webHidden/>
          </w:rPr>
          <w:fldChar w:fldCharType="end"/>
        </w:r>
      </w:hyperlink>
    </w:p>
    <w:p w:rsidR="00A472B6" w:rsidRDefault="00F26FB4">
      <w:pPr>
        <w:pStyle w:val="TOC1"/>
        <w:rPr>
          <w:rFonts w:asciiTheme="minorHAnsi" w:eastAsiaTheme="minorEastAsia" w:hAnsiTheme="minorHAnsi" w:cstheme="minorBidi"/>
          <w:b w:val="0"/>
          <w:caps w:val="0"/>
          <w:noProof/>
          <w:sz w:val="22"/>
          <w:szCs w:val="22"/>
          <w:lang w:val="da-DK" w:eastAsia="da-DK"/>
        </w:rPr>
      </w:pPr>
      <w:hyperlink w:anchor="_Toc323545843" w:history="1">
        <w:r w:rsidR="00A472B6" w:rsidRPr="00501952">
          <w:rPr>
            <w:rStyle w:val="Hyperlink"/>
            <w:noProof/>
          </w:rPr>
          <w:t>1</w:t>
        </w:r>
        <w:r w:rsidR="00A472B6">
          <w:rPr>
            <w:rFonts w:asciiTheme="minorHAnsi" w:eastAsiaTheme="minorEastAsia" w:hAnsiTheme="minorHAnsi" w:cstheme="minorBidi"/>
            <w:b w:val="0"/>
            <w:caps w:val="0"/>
            <w:noProof/>
            <w:sz w:val="22"/>
            <w:szCs w:val="22"/>
            <w:lang w:val="da-DK" w:eastAsia="da-DK"/>
          </w:rPr>
          <w:tab/>
        </w:r>
        <w:r w:rsidR="00A472B6" w:rsidRPr="00501952">
          <w:rPr>
            <w:rStyle w:val="Hyperlink"/>
            <w:noProof/>
          </w:rPr>
          <w:t>who responded</w:t>
        </w:r>
        <w:r w:rsidR="00A472B6">
          <w:rPr>
            <w:noProof/>
            <w:webHidden/>
          </w:rPr>
          <w:tab/>
        </w:r>
        <w:r w:rsidR="00A472B6">
          <w:rPr>
            <w:noProof/>
            <w:webHidden/>
          </w:rPr>
          <w:fldChar w:fldCharType="begin"/>
        </w:r>
        <w:r w:rsidR="00A472B6">
          <w:rPr>
            <w:noProof/>
            <w:webHidden/>
          </w:rPr>
          <w:instrText xml:space="preserve"> PAGEREF _Toc323545843 \h </w:instrText>
        </w:r>
        <w:r w:rsidR="00A472B6">
          <w:rPr>
            <w:noProof/>
            <w:webHidden/>
          </w:rPr>
        </w:r>
        <w:r w:rsidR="00A472B6">
          <w:rPr>
            <w:noProof/>
            <w:webHidden/>
          </w:rPr>
          <w:fldChar w:fldCharType="separate"/>
        </w:r>
        <w:r w:rsidR="001A06A7">
          <w:rPr>
            <w:noProof/>
            <w:webHidden/>
          </w:rPr>
          <w:t>5</w:t>
        </w:r>
        <w:r w:rsidR="00A472B6">
          <w:rPr>
            <w:noProof/>
            <w:webHidden/>
          </w:rPr>
          <w:fldChar w:fldCharType="end"/>
        </w:r>
      </w:hyperlink>
    </w:p>
    <w:p w:rsidR="00A472B6" w:rsidRDefault="00F26FB4">
      <w:pPr>
        <w:pStyle w:val="TOC1"/>
        <w:rPr>
          <w:rFonts w:asciiTheme="minorHAnsi" w:eastAsiaTheme="minorEastAsia" w:hAnsiTheme="minorHAnsi" w:cstheme="minorBidi"/>
          <w:b w:val="0"/>
          <w:caps w:val="0"/>
          <w:noProof/>
          <w:sz w:val="22"/>
          <w:szCs w:val="22"/>
          <w:lang w:val="da-DK" w:eastAsia="da-DK"/>
        </w:rPr>
      </w:pPr>
      <w:hyperlink w:anchor="_Toc323545844" w:history="1">
        <w:r w:rsidR="00A472B6" w:rsidRPr="00501952">
          <w:rPr>
            <w:rStyle w:val="Hyperlink"/>
            <w:noProof/>
          </w:rPr>
          <w:t>2</w:t>
        </w:r>
        <w:r w:rsidR="00A472B6">
          <w:rPr>
            <w:rFonts w:asciiTheme="minorHAnsi" w:eastAsiaTheme="minorEastAsia" w:hAnsiTheme="minorHAnsi" w:cstheme="minorBidi"/>
            <w:b w:val="0"/>
            <w:caps w:val="0"/>
            <w:noProof/>
            <w:sz w:val="22"/>
            <w:szCs w:val="22"/>
            <w:lang w:val="da-DK" w:eastAsia="da-DK"/>
          </w:rPr>
          <w:tab/>
        </w:r>
        <w:r w:rsidR="00A472B6" w:rsidRPr="00501952">
          <w:rPr>
            <w:rStyle w:val="Hyperlink"/>
            <w:noProof/>
          </w:rPr>
          <w:t>applications</w:t>
        </w:r>
        <w:r w:rsidR="00A472B6">
          <w:rPr>
            <w:noProof/>
            <w:webHidden/>
          </w:rPr>
          <w:tab/>
        </w:r>
        <w:r w:rsidR="00A472B6">
          <w:rPr>
            <w:noProof/>
            <w:webHidden/>
          </w:rPr>
          <w:fldChar w:fldCharType="begin"/>
        </w:r>
        <w:r w:rsidR="00A472B6">
          <w:rPr>
            <w:noProof/>
            <w:webHidden/>
          </w:rPr>
          <w:instrText xml:space="preserve"> PAGEREF _Toc323545844 \h </w:instrText>
        </w:r>
        <w:r w:rsidR="00A472B6">
          <w:rPr>
            <w:noProof/>
            <w:webHidden/>
          </w:rPr>
        </w:r>
        <w:r w:rsidR="00A472B6">
          <w:rPr>
            <w:noProof/>
            <w:webHidden/>
          </w:rPr>
          <w:fldChar w:fldCharType="separate"/>
        </w:r>
        <w:r w:rsidR="001A06A7">
          <w:rPr>
            <w:noProof/>
            <w:webHidden/>
          </w:rPr>
          <w:t>9</w:t>
        </w:r>
        <w:r w:rsidR="00A472B6">
          <w:rPr>
            <w:noProof/>
            <w:webHidden/>
          </w:rPr>
          <w:fldChar w:fldCharType="end"/>
        </w:r>
      </w:hyperlink>
    </w:p>
    <w:p w:rsidR="00A472B6" w:rsidRDefault="00F26FB4">
      <w:pPr>
        <w:pStyle w:val="TOC1"/>
        <w:rPr>
          <w:rFonts w:asciiTheme="minorHAnsi" w:eastAsiaTheme="minorEastAsia" w:hAnsiTheme="minorHAnsi" w:cstheme="minorBidi"/>
          <w:b w:val="0"/>
          <w:caps w:val="0"/>
          <w:noProof/>
          <w:sz w:val="22"/>
          <w:szCs w:val="22"/>
          <w:lang w:val="da-DK" w:eastAsia="da-DK"/>
        </w:rPr>
      </w:pPr>
      <w:hyperlink w:anchor="_Toc323545845" w:history="1">
        <w:r w:rsidR="00A472B6" w:rsidRPr="00501952">
          <w:rPr>
            <w:rStyle w:val="Hyperlink"/>
            <w:noProof/>
          </w:rPr>
          <w:t>3</w:t>
        </w:r>
        <w:r w:rsidR="00A472B6">
          <w:rPr>
            <w:rFonts w:asciiTheme="minorHAnsi" w:eastAsiaTheme="minorEastAsia" w:hAnsiTheme="minorHAnsi" w:cstheme="minorBidi"/>
            <w:b w:val="0"/>
            <w:caps w:val="0"/>
            <w:noProof/>
            <w:sz w:val="22"/>
            <w:szCs w:val="22"/>
            <w:lang w:val="da-DK" w:eastAsia="da-DK"/>
          </w:rPr>
          <w:tab/>
        </w:r>
        <w:r w:rsidR="00A472B6" w:rsidRPr="00501952">
          <w:rPr>
            <w:rStyle w:val="Hyperlink"/>
            <w:noProof/>
          </w:rPr>
          <w:t>spectrum access and bandwith used</w:t>
        </w:r>
        <w:r w:rsidR="00A472B6">
          <w:rPr>
            <w:noProof/>
            <w:webHidden/>
          </w:rPr>
          <w:tab/>
        </w:r>
        <w:r w:rsidR="00A472B6">
          <w:rPr>
            <w:noProof/>
            <w:webHidden/>
          </w:rPr>
          <w:fldChar w:fldCharType="begin"/>
        </w:r>
        <w:r w:rsidR="00A472B6">
          <w:rPr>
            <w:noProof/>
            <w:webHidden/>
          </w:rPr>
          <w:instrText xml:space="preserve"> PAGEREF _Toc323545845 \h </w:instrText>
        </w:r>
        <w:r w:rsidR="00A472B6">
          <w:rPr>
            <w:noProof/>
            <w:webHidden/>
          </w:rPr>
        </w:r>
        <w:r w:rsidR="00A472B6">
          <w:rPr>
            <w:noProof/>
            <w:webHidden/>
          </w:rPr>
          <w:fldChar w:fldCharType="separate"/>
        </w:r>
        <w:r w:rsidR="001A06A7">
          <w:rPr>
            <w:noProof/>
            <w:webHidden/>
          </w:rPr>
          <w:t>10</w:t>
        </w:r>
        <w:r w:rsidR="00A472B6">
          <w:rPr>
            <w:noProof/>
            <w:webHidden/>
          </w:rPr>
          <w:fldChar w:fldCharType="end"/>
        </w:r>
      </w:hyperlink>
    </w:p>
    <w:p w:rsidR="00A472B6" w:rsidRDefault="00F26FB4">
      <w:pPr>
        <w:pStyle w:val="TOC1"/>
        <w:rPr>
          <w:rFonts w:asciiTheme="minorHAnsi" w:eastAsiaTheme="minorEastAsia" w:hAnsiTheme="minorHAnsi" w:cstheme="minorBidi"/>
          <w:b w:val="0"/>
          <w:caps w:val="0"/>
          <w:noProof/>
          <w:sz w:val="22"/>
          <w:szCs w:val="22"/>
          <w:lang w:val="da-DK" w:eastAsia="da-DK"/>
        </w:rPr>
      </w:pPr>
      <w:hyperlink w:anchor="_Toc323545846" w:history="1">
        <w:r w:rsidR="00A472B6" w:rsidRPr="00501952">
          <w:rPr>
            <w:rStyle w:val="Hyperlink"/>
            <w:noProof/>
          </w:rPr>
          <w:t>4</w:t>
        </w:r>
        <w:r w:rsidR="00A472B6">
          <w:rPr>
            <w:rFonts w:asciiTheme="minorHAnsi" w:eastAsiaTheme="minorEastAsia" w:hAnsiTheme="minorHAnsi" w:cstheme="minorBidi"/>
            <w:b w:val="0"/>
            <w:caps w:val="0"/>
            <w:noProof/>
            <w:sz w:val="22"/>
            <w:szCs w:val="22"/>
            <w:lang w:val="da-DK" w:eastAsia="da-DK"/>
          </w:rPr>
          <w:tab/>
        </w:r>
        <w:r w:rsidR="00A472B6" w:rsidRPr="00501952">
          <w:rPr>
            <w:rStyle w:val="Hyperlink"/>
            <w:noProof/>
          </w:rPr>
          <w:t>Detailed questions</w:t>
        </w:r>
        <w:r w:rsidR="00A472B6">
          <w:rPr>
            <w:noProof/>
            <w:webHidden/>
          </w:rPr>
          <w:tab/>
        </w:r>
        <w:r w:rsidR="00A472B6">
          <w:rPr>
            <w:noProof/>
            <w:webHidden/>
          </w:rPr>
          <w:fldChar w:fldCharType="begin"/>
        </w:r>
        <w:r w:rsidR="00A472B6">
          <w:rPr>
            <w:noProof/>
            <w:webHidden/>
          </w:rPr>
          <w:instrText xml:space="preserve"> PAGEREF _Toc323545846 \h </w:instrText>
        </w:r>
        <w:r w:rsidR="00A472B6">
          <w:rPr>
            <w:noProof/>
            <w:webHidden/>
          </w:rPr>
        </w:r>
        <w:r w:rsidR="00A472B6">
          <w:rPr>
            <w:noProof/>
            <w:webHidden/>
          </w:rPr>
          <w:fldChar w:fldCharType="separate"/>
        </w:r>
        <w:r w:rsidR="001A06A7">
          <w:rPr>
            <w:noProof/>
            <w:webHidden/>
          </w:rPr>
          <w:t>12</w:t>
        </w:r>
        <w:r w:rsidR="00A472B6">
          <w:rPr>
            <w:noProof/>
            <w:webHidden/>
          </w:rPr>
          <w:fldChar w:fldCharType="end"/>
        </w:r>
      </w:hyperlink>
    </w:p>
    <w:p w:rsidR="00A472B6" w:rsidRDefault="00F26FB4">
      <w:pPr>
        <w:pStyle w:val="TOC1"/>
        <w:rPr>
          <w:rFonts w:asciiTheme="minorHAnsi" w:eastAsiaTheme="minorEastAsia" w:hAnsiTheme="minorHAnsi" w:cstheme="minorBidi"/>
          <w:b w:val="0"/>
          <w:caps w:val="0"/>
          <w:noProof/>
          <w:sz w:val="22"/>
          <w:szCs w:val="22"/>
          <w:lang w:val="da-DK" w:eastAsia="da-DK"/>
        </w:rPr>
      </w:pPr>
      <w:hyperlink w:anchor="_Toc323545847" w:history="1">
        <w:r w:rsidR="00A472B6" w:rsidRPr="00501952">
          <w:rPr>
            <w:rStyle w:val="Hyperlink"/>
            <w:noProof/>
          </w:rPr>
          <w:t>5</w:t>
        </w:r>
        <w:r w:rsidR="00A472B6">
          <w:rPr>
            <w:rFonts w:asciiTheme="minorHAnsi" w:eastAsiaTheme="minorEastAsia" w:hAnsiTheme="minorHAnsi" w:cstheme="minorBidi"/>
            <w:b w:val="0"/>
            <w:caps w:val="0"/>
            <w:noProof/>
            <w:sz w:val="22"/>
            <w:szCs w:val="22"/>
            <w:lang w:val="da-DK" w:eastAsia="da-DK"/>
          </w:rPr>
          <w:tab/>
        </w:r>
        <w:r w:rsidR="00A472B6" w:rsidRPr="00501952">
          <w:rPr>
            <w:rStyle w:val="Hyperlink"/>
            <w:noProof/>
          </w:rPr>
          <w:t>Conclusions</w:t>
        </w:r>
        <w:r w:rsidR="00A472B6">
          <w:rPr>
            <w:noProof/>
            <w:webHidden/>
          </w:rPr>
          <w:tab/>
        </w:r>
        <w:r w:rsidR="00A472B6">
          <w:rPr>
            <w:noProof/>
            <w:webHidden/>
          </w:rPr>
          <w:fldChar w:fldCharType="begin"/>
        </w:r>
        <w:r w:rsidR="00A472B6">
          <w:rPr>
            <w:noProof/>
            <w:webHidden/>
          </w:rPr>
          <w:instrText xml:space="preserve"> PAGEREF _Toc323545847 \h </w:instrText>
        </w:r>
        <w:r w:rsidR="00A472B6">
          <w:rPr>
            <w:noProof/>
            <w:webHidden/>
          </w:rPr>
        </w:r>
        <w:r w:rsidR="00A472B6">
          <w:rPr>
            <w:noProof/>
            <w:webHidden/>
          </w:rPr>
          <w:fldChar w:fldCharType="separate"/>
        </w:r>
        <w:r w:rsidR="001A06A7">
          <w:rPr>
            <w:noProof/>
            <w:webHidden/>
          </w:rPr>
          <w:t>31</w:t>
        </w:r>
        <w:r w:rsidR="00A472B6">
          <w:rPr>
            <w:noProof/>
            <w:webHidden/>
          </w:rPr>
          <w:fldChar w:fldCharType="end"/>
        </w:r>
      </w:hyperlink>
    </w:p>
    <w:p w:rsidR="00A472B6" w:rsidRDefault="00F26FB4">
      <w:pPr>
        <w:pStyle w:val="TOC1"/>
        <w:rPr>
          <w:rFonts w:asciiTheme="minorHAnsi" w:eastAsiaTheme="minorEastAsia" w:hAnsiTheme="minorHAnsi" w:cstheme="minorBidi"/>
          <w:b w:val="0"/>
          <w:caps w:val="0"/>
          <w:noProof/>
          <w:sz w:val="22"/>
          <w:szCs w:val="22"/>
          <w:lang w:val="da-DK" w:eastAsia="da-DK"/>
        </w:rPr>
      </w:pPr>
      <w:hyperlink w:anchor="_Toc323545848" w:history="1">
        <w:r w:rsidR="00A472B6" w:rsidRPr="00501952">
          <w:rPr>
            <w:rStyle w:val="Hyperlink"/>
            <w:noProof/>
          </w:rPr>
          <w:t>ANNEX 1: List of reference</w:t>
        </w:r>
        <w:r w:rsidR="00A472B6">
          <w:rPr>
            <w:noProof/>
            <w:webHidden/>
          </w:rPr>
          <w:tab/>
        </w:r>
        <w:r w:rsidR="00A472B6">
          <w:rPr>
            <w:noProof/>
            <w:webHidden/>
          </w:rPr>
          <w:fldChar w:fldCharType="begin"/>
        </w:r>
        <w:r w:rsidR="00A472B6">
          <w:rPr>
            <w:noProof/>
            <w:webHidden/>
          </w:rPr>
          <w:instrText xml:space="preserve"> PAGEREF _Toc323545848 \h </w:instrText>
        </w:r>
        <w:r w:rsidR="00A472B6">
          <w:rPr>
            <w:noProof/>
            <w:webHidden/>
          </w:rPr>
        </w:r>
        <w:r w:rsidR="00A472B6">
          <w:rPr>
            <w:noProof/>
            <w:webHidden/>
          </w:rPr>
          <w:fldChar w:fldCharType="separate"/>
        </w:r>
        <w:r w:rsidR="001A06A7">
          <w:rPr>
            <w:noProof/>
            <w:webHidden/>
          </w:rPr>
          <w:t>33</w:t>
        </w:r>
        <w:r w:rsidR="00A472B6">
          <w:rPr>
            <w:noProof/>
            <w:webHidden/>
          </w:rPr>
          <w:fldChar w:fldCharType="end"/>
        </w:r>
      </w:hyperlink>
    </w:p>
    <w:p w:rsidR="008A54FC" w:rsidRDefault="008A54FC" w:rsidP="008A54FC">
      <w:r>
        <w:rPr>
          <w:caps/>
          <w:lang w:val="en-GB"/>
        </w:rPr>
        <w:fldChar w:fldCharType="end"/>
      </w:r>
    </w:p>
    <w:p w:rsidR="008A54FC" w:rsidRDefault="008A54FC" w:rsidP="008A54FC">
      <w:r>
        <w:br w:type="page"/>
      </w:r>
    </w:p>
    <w:p w:rsidR="008A54FC" w:rsidRPr="009B4646" w:rsidRDefault="008A54FC" w:rsidP="008A54FC">
      <w:pPr>
        <w:rPr>
          <w:b/>
          <w:color w:val="FFFFFF"/>
          <w:szCs w:val="20"/>
        </w:rPr>
      </w:pPr>
    </w:p>
    <w:p w:rsidR="008B70CD" w:rsidRDefault="008B70CD" w:rsidP="008A54FC">
      <w:pPr>
        <w:rPr>
          <w:b/>
          <w:color w:val="FFFFFF"/>
          <w:szCs w:val="20"/>
        </w:rPr>
      </w:pPr>
    </w:p>
    <w:p w:rsidR="008A54FC" w:rsidRPr="009B4646" w:rsidRDefault="00DF2C67" w:rsidP="008A54FC">
      <w:pPr>
        <w:rPr>
          <w:b/>
          <w:color w:val="FFFFFF"/>
          <w:szCs w:val="20"/>
        </w:rPr>
      </w:pPr>
      <w:r>
        <w:rPr>
          <w:b/>
          <w:noProof/>
          <w:color w:val="FFFFFF"/>
          <w:szCs w:val="20"/>
          <w:lang w:val="da-DK" w:eastAsia="da-DK"/>
        </w:rPr>
        <mc:AlternateContent>
          <mc:Choice Requires="wps">
            <w:drawing>
              <wp:anchor distT="0" distB="0" distL="114300" distR="114300" simplePos="0" relativeHeight="251659264" behindDoc="1" locked="0" layoutInCell="1" allowOverlap="1" wp14:anchorId="676E9B49" wp14:editId="1948225A">
                <wp:simplePos x="0" y="0"/>
                <wp:positionH relativeFrom="page">
                  <wp:align>center</wp:align>
                </wp:positionH>
                <wp:positionV relativeFrom="page">
                  <wp:posOffset>900430</wp:posOffset>
                </wp:positionV>
                <wp:extent cx="7560310" cy="720090"/>
                <wp:effectExtent l="0" t="0" r="0" b="5080"/>
                <wp:wrapNone/>
                <wp:docPr id="4"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720090"/>
                        </a:xfrm>
                        <a:prstGeom prst="rect">
                          <a:avLst/>
                        </a:prstGeom>
                        <a:solidFill>
                          <a:srgbClr val="B0A69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26" style="position:absolute;margin-left:0;margin-top:70.9pt;width:595.3pt;height:56.7pt;z-index:-251657216;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" fillcolor="#b0a696" stroked="f">
                <w10:wrap anchorx="page" anchory="page"/>
              </v:rect>
            </w:pict>
          </mc:Fallback>
        </mc:AlternateContent>
      </w:r>
      <w:r w:rsidR="008A54FC" w:rsidRPr="009B4646">
        <w:rPr>
          <w:b/>
          <w:color w:val="FFFFFF"/>
          <w:szCs w:val="20"/>
        </w:rPr>
        <w:t>LIST OF ABBREVIATIONS</w:t>
      </w:r>
    </w:p>
    <w:p w:rsidR="008A54FC" w:rsidRPr="00C95C7C" w:rsidRDefault="008A54FC" w:rsidP="008A54FC">
      <w:pPr>
        <w:rPr>
          <w:b/>
          <w:color w:val="FFFFFF"/>
          <w:szCs w:val="20"/>
        </w:rPr>
      </w:pPr>
    </w:p>
    <w:p w:rsidR="008A54FC" w:rsidRPr="00C95C7C" w:rsidRDefault="008A54FC" w:rsidP="008A54FC">
      <w:pPr>
        <w:rPr>
          <w:b/>
          <w:color w:val="FFFFFF"/>
          <w:szCs w:val="20"/>
        </w:rPr>
      </w:pPr>
    </w:p>
    <w:p w:rsidR="008A54FC" w:rsidRDefault="008A54FC" w:rsidP="008A54FC"/>
    <w:tbl>
      <w:tblPr>
        <w:tblW w:w="0" w:type="auto"/>
        <w:tblCellMar>
          <w:top w:w="11" w:type="dxa"/>
          <w:bottom w:w="11" w:type="dxa"/>
        </w:tblCellMar>
        <w:tblLook w:val="01E0" w:firstRow="1" w:lastRow="1" w:firstColumn="1" w:lastColumn="1" w:noHBand="0" w:noVBand="0"/>
      </w:tblPr>
      <w:tblGrid>
        <w:gridCol w:w="2088"/>
        <w:gridCol w:w="7767"/>
      </w:tblGrid>
      <w:tr w:rsidR="008A54FC">
        <w:trPr>
          <w:trHeight w:val="76"/>
        </w:trPr>
        <w:tc>
          <w:tcPr>
            <w:tcW w:w="2088" w:type="dxa"/>
          </w:tcPr>
          <w:p w:rsidR="008A54FC" w:rsidRPr="00CB0AD7" w:rsidRDefault="008A54FC" w:rsidP="008A54FC">
            <w:pPr>
              <w:spacing w:line="288" w:lineRule="auto"/>
              <w:rPr>
                <w:b/>
                <w:color w:val="D2232A"/>
              </w:rPr>
            </w:pPr>
            <w:r w:rsidRPr="00CB0AD7">
              <w:rPr>
                <w:b/>
                <w:color w:val="D2232A"/>
              </w:rPr>
              <w:t>Abbreviation</w:t>
            </w:r>
          </w:p>
        </w:tc>
        <w:tc>
          <w:tcPr>
            <w:tcW w:w="7767" w:type="dxa"/>
          </w:tcPr>
          <w:p w:rsidR="008A54FC" w:rsidRPr="00CB0AD7" w:rsidRDefault="008E718D" w:rsidP="008E718D">
            <w:pPr>
              <w:spacing w:line="288" w:lineRule="auto"/>
              <w:rPr>
                <w:b/>
                <w:color w:val="D2232A"/>
              </w:rPr>
            </w:pPr>
            <w:r>
              <w:rPr>
                <w:b/>
                <w:color w:val="D2232A"/>
              </w:rPr>
              <w:t xml:space="preserve">Explanation </w:t>
            </w:r>
          </w:p>
        </w:tc>
      </w:tr>
      <w:tr w:rsidR="008A54FC">
        <w:tc>
          <w:tcPr>
            <w:tcW w:w="2088" w:type="dxa"/>
          </w:tcPr>
          <w:p w:rsidR="008A54FC" w:rsidRPr="00077796" w:rsidRDefault="009E5E91" w:rsidP="008A54FC">
            <w:pPr>
              <w:spacing w:line="288" w:lineRule="auto"/>
              <w:rPr>
                <w:b/>
              </w:rPr>
            </w:pPr>
            <w:r w:rsidRPr="00077796">
              <w:rPr>
                <w:b/>
              </w:rPr>
              <w:t>ACEA</w:t>
            </w:r>
          </w:p>
        </w:tc>
        <w:tc>
          <w:tcPr>
            <w:tcW w:w="7767" w:type="dxa"/>
          </w:tcPr>
          <w:p w:rsidR="008A54FC" w:rsidRPr="00077796" w:rsidRDefault="009E5E91" w:rsidP="009E5E91">
            <w:pPr>
              <w:spacing w:line="288" w:lineRule="auto"/>
              <w:rPr>
                <w:szCs w:val="20"/>
              </w:rPr>
            </w:pPr>
            <w:r w:rsidRPr="00077796">
              <w:t xml:space="preserve">European Automotive Manufacturer Association </w:t>
            </w:r>
          </w:p>
        </w:tc>
      </w:tr>
      <w:tr w:rsidR="004B184C">
        <w:tc>
          <w:tcPr>
            <w:tcW w:w="2088" w:type="dxa"/>
          </w:tcPr>
          <w:p w:rsidR="004B184C" w:rsidRPr="00077796" w:rsidRDefault="004B184C" w:rsidP="008A54FC">
            <w:pPr>
              <w:spacing w:line="288" w:lineRule="auto"/>
              <w:rPr>
                <w:b/>
              </w:rPr>
            </w:pPr>
            <w:r w:rsidRPr="00077796">
              <w:rPr>
                <w:b/>
              </w:rPr>
              <w:t>AFA</w:t>
            </w:r>
          </w:p>
        </w:tc>
        <w:tc>
          <w:tcPr>
            <w:tcW w:w="7767" w:type="dxa"/>
          </w:tcPr>
          <w:p w:rsidR="004B184C" w:rsidRPr="00077796" w:rsidRDefault="00224D2A" w:rsidP="009E5E91">
            <w:pPr>
              <w:spacing w:line="288" w:lineRule="auto"/>
            </w:pPr>
            <w:r w:rsidRPr="00077796">
              <w:t>Adaptive Frequency Agility</w:t>
            </w:r>
          </w:p>
        </w:tc>
      </w:tr>
      <w:tr w:rsidR="009E5E91">
        <w:tc>
          <w:tcPr>
            <w:tcW w:w="2088" w:type="dxa"/>
          </w:tcPr>
          <w:p w:rsidR="009E5E91" w:rsidRPr="00077796" w:rsidRDefault="009E5E91" w:rsidP="008A54FC">
            <w:pPr>
              <w:spacing w:line="288" w:lineRule="auto"/>
              <w:rPr>
                <w:b/>
              </w:rPr>
            </w:pPr>
            <w:r w:rsidRPr="00077796">
              <w:rPr>
                <w:b/>
              </w:rPr>
              <w:t>AM</w:t>
            </w:r>
          </w:p>
        </w:tc>
        <w:tc>
          <w:tcPr>
            <w:tcW w:w="7767" w:type="dxa"/>
          </w:tcPr>
          <w:p w:rsidR="009E5E91" w:rsidRPr="00077796" w:rsidRDefault="00077796" w:rsidP="00077796">
            <w:pPr>
              <w:spacing w:line="288" w:lineRule="auto"/>
            </w:pPr>
            <w:r w:rsidRPr="00077796">
              <w:t>Amplitude Modulation</w:t>
            </w:r>
          </w:p>
        </w:tc>
      </w:tr>
      <w:tr w:rsidR="009E5E91">
        <w:tc>
          <w:tcPr>
            <w:tcW w:w="2088" w:type="dxa"/>
          </w:tcPr>
          <w:p w:rsidR="009E5E91" w:rsidRPr="00077796" w:rsidRDefault="009E5E91" w:rsidP="008A54FC">
            <w:pPr>
              <w:spacing w:line="288" w:lineRule="auto"/>
              <w:rPr>
                <w:b/>
              </w:rPr>
            </w:pPr>
            <w:r w:rsidRPr="00077796">
              <w:rPr>
                <w:b/>
              </w:rPr>
              <w:t>ASK</w:t>
            </w:r>
          </w:p>
        </w:tc>
        <w:tc>
          <w:tcPr>
            <w:tcW w:w="7767" w:type="dxa"/>
          </w:tcPr>
          <w:p w:rsidR="009E5E91" w:rsidRPr="00077796" w:rsidRDefault="00077796" w:rsidP="00077796">
            <w:pPr>
              <w:spacing w:line="288" w:lineRule="auto"/>
            </w:pPr>
            <w:r w:rsidRPr="00077796">
              <w:t>Amplitude Shift Keying</w:t>
            </w:r>
          </w:p>
        </w:tc>
      </w:tr>
      <w:tr w:rsidR="008A54FC">
        <w:tc>
          <w:tcPr>
            <w:tcW w:w="2088" w:type="dxa"/>
          </w:tcPr>
          <w:p w:rsidR="008A54FC" w:rsidRPr="00077796" w:rsidRDefault="009E5E91" w:rsidP="008A54FC">
            <w:pPr>
              <w:spacing w:line="288" w:lineRule="auto"/>
              <w:rPr>
                <w:b/>
              </w:rPr>
            </w:pPr>
            <w:r w:rsidRPr="00077796">
              <w:rPr>
                <w:b/>
              </w:rPr>
              <w:t>BSIA</w:t>
            </w:r>
          </w:p>
        </w:tc>
        <w:tc>
          <w:tcPr>
            <w:tcW w:w="7767" w:type="dxa"/>
          </w:tcPr>
          <w:p w:rsidR="008A54FC" w:rsidRPr="00077796" w:rsidRDefault="009E5E91" w:rsidP="008A54FC">
            <w:pPr>
              <w:pStyle w:val="ECCParagraph"/>
              <w:spacing w:after="0" w:line="288" w:lineRule="auto"/>
              <w:jc w:val="left"/>
              <w:rPr>
                <w:szCs w:val="20"/>
              </w:rPr>
            </w:pPr>
            <w:r w:rsidRPr="00077796">
              <w:t>British Security Industry Association</w:t>
            </w:r>
          </w:p>
        </w:tc>
      </w:tr>
      <w:tr w:rsidR="009E5E91">
        <w:tc>
          <w:tcPr>
            <w:tcW w:w="2088" w:type="dxa"/>
          </w:tcPr>
          <w:p w:rsidR="009E5E91" w:rsidRPr="00077796" w:rsidRDefault="009E5E91" w:rsidP="009E5E91">
            <w:pPr>
              <w:spacing w:line="288" w:lineRule="auto"/>
              <w:rPr>
                <w:b/>
              </w:rPr>
            </w:pPr>
            <w:r w:rsidRPr="00077796">
              <w:rPr>
                <w:b/>
              </w:rPr>
              <w:t>CEPT</w:t>
            </w:r>
          </w:p>
        </w:tc>
        <w:tc>
          <w:tcPr>
            <w:tcW w:w="7767" w:type="dxa"/>
          </w:tcPr>
          <w:p w:rsidR="009E5E91" w:rsidRPr="00077796" w:rsidRDefault="009E5E91" w:rsidP="009E5E91">
            <w:pPr>
              <w:spacing w:line="288" w:lineRule="auto"/>
              <w:rPr>
                <w:szCs w:val="20"/>
              </w:rPr>
            </w:pPr>
            <w:r w:rsidRPr="00077796">
              <w:rPr>
                <w:szCs w:val="20"/>
              </w:rPr>
              <w:t>European Conference of Postal and Telecommunications Administrations</w:t>
            </w:r>
          </w:p>
        </w:tc>
      </w:tr>
      <w:tr w:rsidR="004B184C">
        <w:tc>
          <w:tcPr>
            <w:tcW w:w="2088" w:type="dxa"/>
          </w:tcPr>
          <w:p w:rsidR="004B184C" w:rsidRPr="00077796" w:rsidRDefault="004B184C" w:rsidP="009E5E91">
            <w:pPr>
              <w:spacing w:line="288" w:lineRule="auto"/>
              <w:rPr>
                <w:b/>
              </w:rPr>
            </w:pPr>
            <w:r w:rsidRPr="00077796">
              <w:rPr>
                <w:b/>
              </w:rPr>
              <w:t>DAA</w:t>
            </w:r>
          </w:p>
        </w:tc>
        <w:tc>
          <w:tcPr>
            <w:tcW w:w="7767" w:type="dxa"/>
          </w:tcPr>
          <w:p w:rsidR="004B184C" w:rsidRPr="00077796" w:rsidRDefault="00224D2A" w:rsidP="009E5E91">
            <w:pPr>
              <w:spacing w:line="288" w:lineRule="auto"/>
              <w:rPr>
                <w:szCs w:val="20"/>
              </w:rPr>
            </w:pPr>
            <w:r w:rsidRPr="00077796">
              <w:rPr>
                <w:szCs w:val="20"/>
              </w:rPr>
              <w:t>Detect and Avoid</w:t>
            </w:r>
          </w:p>
        </w:tc>
      </w:tr>
      <w:tr w:rsidR="009E5E91">
        <w:tc>
          <w:tcPr>
            <w:tcW w:w="2088" w:type="dxa"/>
          </w:tcPr>
          <w:p w:rsidR="009E5E91" w:rsidRPr="00077796" w:rsidRDefault="009E5E91" w:rsidP="009E5E91">
            <w:pPr>
              <w:spacing w:line="288" w:lineRule="auto"/>
              <w:rPr>
                <w:b/>
              </w:rPr>
            </w:pPr>
            <w:r w:rsidRPr="00077796">
              <w:rPr>
                <w:b/>
              </w:rPr>
              <w:t>DC</w:t>
            </w:r>
          </w:p>
        </w:tc>
        <w:tc>
          <w:tcPr>
            <w:tcW w:w="7767" w:type="dxa"/>
          </w:tcPr>
          <w:p w:rsidR="009E5E91" w:rsidRPr="00077796" w:rsidRDefault="00AA54AA" w:rsidP="009E5E91">
            <w:pPr>
              <w:spacing w:line="288" w:lineRule="auto"/>
              <w:rPr>
                <w:szCs w:val="20"/>
              </w:rPr>
            </w:pPr>
            <w:r w:rsidRPr="00077796">
              <w:t>Duty Cycle</w:t>
            </w:r>
          </w:p>
        </w:tc>
      </w:tr>
      <w:tr w:rsidR="00AA54AA">
        <w:tc>
          <w:tcPr>
            <w:tcW w:w="2088" w:type="dxa"/>
          </w:tcPr>
          <w:p w:rsidR="00AA54AA" w:rsidRPr="00077796" w:rsidRDefault="00AA54AA" w:rsidP="009E5E91">
            <w:pPr>
              <w:spacing w:line="288" w:lineRule="auto"/>
              <w:rPr>
                <w:b/>
              </w:rPr>
            </w:pPr>
            <w:r w:rsidRPr="00077796">
              <w:rPr>
                <w:b/>
              </w:rPr>
              <w:t>DECT</w:t>
            </w:r>
          </w:p>
        </w:tc>
        <w:tc>
          <w:tcPr>
            <w:tcW w:w="7767" w:type="dxa"/>
          </w:tcPr>
          <w:p w:rsidR="00AA54AA" w:rsidRPr="00077796" w:rsidRDefault="00E21378" w:rsidP="009E5E91">
            <w:pPr>
              <w:spacing w:line="288" w:lineRule="auto"/>
              <w:rPr>
                <w:szCs w:val="20"/>
              </w:rPr>
            </w:pPr>
            <w:r w:rsidRPr="00077796">
              <w:rPr>
                <w:szCs w:val="20"/>
              </w:rPr>
              <w:t>Digital Enhanced Cordless Telecommunication</w:t>
            </w:r>
          </w:p>
        </w:tc>
      </w:tr>
      <w:tr w:rsidR="004B184C">
        <w:tc>
          <w:tcPr>
            <w:tcW w:w="2088" w:type="dxa"/>
          </w:tcPr>
          <w:p w:rsidR="004B184C" w:rsidRPr="00077796" w:rsidRDefault="004B184C" w:rsidP="009E5E91">
            <w:pPr>
              <w:spacing w:line="288" w:lineRule="auto"/>
              <w:rPr>
                <w:b/>
              </w:rPr>
            </w:pPr>
            <w:r w:rsidRPr="00077796">
              <w:rPr>
                <w:b/>
              </w:rPr>
              <w:t>DSSS</w:t>
            </w:r>
          </w:p>
        </w:tc>
        <w:tc>
          <w:tcPr>
            <w:tcW w:w="7767" w:type="dxa"/>
          </w:tcPr>
          <w:p w:rsidR="004B184C" w:rsidRPr="00077796" w:rsidRDefault="009E4DEF" w:rsidP="009E5E91">
            <w:pPr>
              <w:spacing w:line="288" w:lineRule="auto"/>
              <w:rPr>
                <w:szCs w:val="20"/>
              </w:rPr>
            </w:pPr>
            <w:r w:rsidRPr="00077796">
              <w:rPr>
                <w:szCs w:val="20"/>
              </w:rPr>
              <w:t>Direct Sequence Spread Spectrum</w:t>
            </w:r>
          </w:p>
        </w:tc>
      </w:tr>
      <w:tr w:rsidR="009E5E91">
        <w:tc>
          <w:tcPr>
            <w:tcW w:w="2088" w:type="dxa"/>
          </w:tcPr>
          <w:p w:rsidR="009E5E91" w:rsidRPr="00077796" w:rsidRDefault="009E5E91" w:rsidP="009E5E91">
            <w:pPr>
              <w:spacing w:line="288" w:lineRule="auto"/>
              <w:rPr>
                <w:b/>
              </w:rPr>
            </w:pPr>
            <w:r w:rsidRPr="00077796">
              <w:rPr>
                <w:b/>
              </w:rPr>
              <w:t>ECC</w:t>
            </w:r>
          </w:p>
        </w:tc>
        <w:tc>
          <w:tcPr>
            <w:tcW w:w="7767" w:type="dxa"/>
          </w:tcPr>
          <w:p w:rsidR="009E5E91" w:rsidRPr="00077796" w:rsidRDefault="009E5E91" w:rsidP="009E5E91">
            <w:pPr>
              <w:pStyle w:val="ECCParagraph"/>
              <w:spacing w:after="0" w:line="288" w:lineRule="auto"/>
              <w:jc w:val="left"/>
              <w:rPr>
                <w:szCs w:val="20"/>
              </w:rPr>
            </w:pPr>
            <w:r w:rsidRPr="00077796">
              <w:t>Electronic Communications Committee</w:t>
            </w:r>
          </w:p>
        </w:tc>
      </w:tr>
      <w:tr w:rsidR="00DD1D4B">
        <w:tc>
          <w:tcPr>
            <w:tcW w:w="2088" w:type="dxa"/>
          </w:tcPr>
          <w:p w:rsidR="00DD1D4B" w:rsidRPr="00077796" w:rsidRDefault="00DD1D4B" w:rsidP="009E5E91">
            <w:pPr>
              <w:spacing w:line="288" w:lineRule="auto"/>
              <w:rPr>
                <w:b/>
              </w:rPr>
            </w:pPr>
            <w:r w:rsidRPr="00077796">
              <w:rPr>
                <w:b/>
              </w:rPr>
              <w:t>ECO</w:t>
            </w:r>
          </w:p>
        </w:tc>
        <w:tc>
          <w:tcPr>
            <w:tcW w:w="7767" w:type="dxa"/>
          </w:tcPr>
          <w:p w:rsidR="00DD1D4B" w:rsidRPr="00077796" w:rsidRDefault="009E4DEF" w:rsidP="009E5E91">
            <w:pPr>
              <w:pStyle w:val="ECCParagraph"/>
              <w:spacing w:after="0" w:line="288" w:lineRule="auto"/>
              <w:jc w:val="left"/>
            </w:pPr>
            <w:r w:rsidRPr="00077796">
              <w:t>European Communications Office</w:t>
            </w:r>
          </w:p>
        </w:tc>
      </w:tr>
      <w:tr w:rsidR="004B184C">
        <w:tc>
          <w:tcPr>
            <w:tcW w:w="2088" w:type="dxa"/>
          </w:tcPr>
          <w:p w:rsidR="004B184C" w:rsidRPr="00077796" w:rsidRDefault="004B184C" w:rsidP="009E5E91">
            <w:pPr>
              <w:spacing w:line="288" w:lineRule="auto"/>
              <w:rPr>
                <w:b/>
              </w:rPr>
            </w:pPr>
            <w:r w:rsidRPr="00077796">
              <w:rPr>
                <w:b/>
              </w:rPr>
              <w:t>e.i.r.p.</w:t>
            </w:r>
          </w:p>
        </w:tc>
        <w:tc>
          <w:tcPr>
            <w:tcW w:w="7767" w:type="dxa"/>
          </w:tcPr>
          <w:p w:rsidR="004B184C" w:rsidRPr="00077796" w:rsidRDefault="009E4DEF" w:rsidP="009E5E91">
            <w:pPr>
              <w:pStyle w:val="ECCParagraph"/>
              <w:spacing w:after="0" w:line="288" w:lineRule="auto"/>
              <w:jc w:val="left"/>
            </w:pPr>
            <w:r w:rsidRPr="00077796">
              <w:t>Equivalent Isotropic Radiated Power</w:t>
            </w:r>
          </w:p>
        </w:tc>
      </w:tr>
      <w:tr w:rsidR="004B184C">
        <w:tc>
          <w:tcPr>
            <w:tcW w:w="2088" w:type="dxa"/>
          </w:tcPr>
          <w:p w:rsidR="004B184C" w:rsidRPr="00077796" w:rsidRDefault="004B184C" w:rsidP="009E5E91">
            <w:pPr>
              <w:spacing w:line="288" w:lineRule="auto"/>
              <w:rPr>
                <w:b/>
              </w:rPr>
            </w:pPr>
            <w:r w:rsidRPr="00077796">
              <w:rPr>
                <w:b/>
              </w:rPr>
              <w:t>ETSI</w:t>
            </w:r>
          </w:p>
        </w:tc>
        <w:tc>
          <w:tcPr>
            <w:tcW w:w="7767" w:type="dxa"/>
          </w:tcPr>
          <w:p w:rsidR="004B184C" w:rsidRPr="00077796" w:rsidRDefault="009E4DEF" w:rsidP="009E5E91">
            <w:pPr>
              <w:pStyle w:val="ECCParagraph"/>
              <w:spacing w:after="0" w:line="288" w:lineRule="auto"/>
              <w:jc w:val="left"/>
            </w:pPr>
            <w:r w:rsidRPr="00077796">
              <w:t xml:space="preserve">European Telecommunication </w:t>
            </w:r>
          </w:p>
        </w:tc>
      </w:tr>
      <w:tr w:rsidR="00DD1D4B">
        <w:tc>
          <w:tcPr>
            <w:tcW w:w="2088" w:type="dxa"/>
          </w:tcPr>
          <w:p w:rsidR="00DD1D4B" w:rsidRPr="00077796" w:rsidRDefault="00DD1D4B" w:rsidP="009E5E91">
            <w:pPr>
              <w:spacing w:line="288" w:lineRule="auto"/>
              <w:rPr>
                <w:b/>
              </w:rPr>
            </w:pPr>
            <w:r w:rsidRPr="00077796">
              <w:rPr>
                <w:b/>
              </w:rPr>
              <w:t>FH</w:t>
            </w:r>
          </w:p>
        </w:tc>
        <w:tc>
          <w:tcPr>
            <w:tcW w:w="7767" w:type="dxa"/>
          </w:tcPr>
          <w:p w:rsidR="00DD1D4B" w:rsidRPr="00077796" w:rsidRDefault="00077796" w:rsidP="00077796">
            <w:pPr>
              <w:pStyle w:val="ECCParagraph"/>
              <w:spacing w:after="0" w:line="288" w:lineRule="auto"/>
              <w:jc w:val="left"/>
            </w:pPr>
            <w:r w:rsidRPr="00077796">
              <w:t>Frequency Hopping</w:t>
            </w:r>
          </w:p>
        </w:tc>
      </w:tr>
      <w:tr w:rsidR="004B184C">
        <w:tc>
          <w:tcPr>
            <w:tcW w:w="2088" w:type="dxa"/>
          </w:tcPr>
          <w:p w:rsidR="004B184C" w:rsidRPr="00077796" w:rsidRDefault="004B184C" w:rsidP="009E5E91">
            <w:pPr>
              <w:spacing w:line="288" w:lineRule="auto"/>
              <w:rPr>
                <w:b/>
              </w:rPr>
            </w:pPr>
            <w:r w:rsidRPr="00077796">
              <w:rPr>
                <w:b/>
              </w:rPr>
              <w:t>FHSS</w:t>
            </w:r>
          </w:p>
        </w:tc>
        <w:tc>
          <w:tcPr>
            <w:tcW w:w="7767" w:type="dxa"/>
          </w:tcPr>
          <w:p w:rsidR="004B184C" w:rsidRPr="00077796" w:rsidRDefault="009E4DEF" w:rsidP="009E5E91">
            <w:pPr>
              <w:pStyle w:val="ECCParagraph"/>
              <w:spacing w:after="0" w:line="288" w:lineRule="auto"/>
              <w:jc w:val="left"/>
            </w:pPr>
            <w:r w:rsidRPr="00077796">
              <w:t>Frequency Hopping Spread Spectrum</w:t>
            </w:r>
          </w:p>
        </w:tc>
      </w:tr>
      <w:tr w:rsidR="009E5E91">
        <w:tc>
          <w:tcPr>
            <w:tcW w:w="2088" w:type="dxa"/>
          </w:tcPr>
          <w:p w:rsidR="009E5E91" w:rsidRPr="00077796" w:rsidRDefault="009E5E91" w:rsidP="009E5E91">
            <w:pPr>
              <w:spacing w:line="288" w:lineRule="auto"/>
              <w:rPr>
                <w:b/>
              </w:rPr>
            </w:pPr>
            <w:r w:rsidRPr="00077796">
              <w:rPr>
                <w:b/>
              </w:rPr>
              <w:t>FM</w:t>
            </w:r>
          </w:p>
        </w:tc>
        <w:tc>
          <w:tcPr>
            <w:tcW w:w="7767" w:type="dxa"/>
          </w:tcPr>
          <w:p w:rsidR="009E5E91" w:rsidRPr="00077796" w:rsidRDefault="00E21378" w:rsidP="009E5E91">
            <w:pPr>
              <w:pStyle w:val="ECCParagraph"/>
              <w:spacing w:after="0" w:line="288" w:lineRule="auto"/>
              <w:jc w:val="left"/>
            </w:pPr>
            <w:r w:rsidRPr="00077796">
              <w:t>Frequency Modulation</w:t>
            </w:r>
          </w:p>
        </w:tc>
      </w:tr>
      <w:tr w:rsidR="008A54FC">
        <w:tc>
          <w:tcPr>
            <w:tcW w:w="2088" w:type="dxa"/>
          </w:tcPr>
          <w:p w:rsidR="008A54FC" w:rsidRPr="00077796" w:rsidRDefault="009E5E91" w:rsidP="009E5E91">
            <w:pPr>
              <w:spacing w:line="288" w:lineRule="auto"/>
              <w:rPr>
                <w:b/>
              </w:rPr>
            </w:pPr>
            <w:r w:rsidRPr="00077796">
              <w:rPr>
                <w:b/>
              </w:rPr>
              <w:t>FSK</w:t>
            </w:r>
          </w:p>
        </w:tc>
        <w:tc>
          <w:tcPr>
            <w:tcW w:w="7767" w:type="dxa"/>
          </w:tcPr>
          <w:p w:rsidR="008A54FC" w:rsidRPr="00077796" w:rsidRDefault="00532580" w:rsidP="008A54FC">
            <w:pPr>
              <w:pStyle w:val="ECCParagraph"/>
              <w:spacing w:after="0" w:line="288" w:lineRule="auto"/>
              <w:jc w:val="left"/>
            </w:pPr>
            <w:r w:rsidRPr="00077796">
              <w:t>Frequency Shift Keying</w:t>
            </w:r>
          </w:p>
        </w:tc>
      </w:tr>
      <w:tr w:rsidR="008A54FC">
        <w:tc>
          <w:tcPr>
            <w:tcW w:w="2088" w:type="dxa"/>
          </w:tcPr>
          <w:p w:rsidR="008A54FC" w:rsidRPr="00077796" w:rsidRDefault="009E5E91" w:rsidP="008A54FC">
            <w:pPr>
              <w:spacing w:line="288" w:lineRule="auto"/>
              <w:rPr>
                <w:b/>
              </w:rPr>
            </w:pPr>
            <w:r w:rsidRPr="00077796">
              <w:rPr>
                <w:b/>
              </w:rPr>
              <w:t>GFSK</w:t>
            </w:r>
          </w:p>
        </w:tc>
        <w:tc>
          <w:tcPr>
            <w:tcW w:w="7767" w:type="dxa"/>
          </w:tcPr>
          <w:p w:rsidR="008A54FC" w:rsidRPr="00077796" w:rsidRDefault="00532580" w:rsidP="008A54FC">
            <w:pPr>
              <w:pStyle w:val="ECCParagraph"/>
              <w:spacing w:after="0" w:line="288" w:lineRule="auto"/>
              <w:jc w:val="left"/>
              <w:rPr>
                <w:color w:val="000000"/>
              </w:rPr>
            </w:pPr>
            <w:r w:rsidRPr="00077796">
              <w:rPr>
                <w:color w:val="000000"/>
              </w:rPr>
              <w:t xml:space="preserve">Gaussian Frequency </w:t>
            </w:r>
            <w:r w:rsidR="00E77ECD" w:rsidRPr="00077796">
              <w:rPr>
                <w:color w:val="000000"/>
              </w:rPr>
              <w:t>Shift Keying</w:t>
            </w:r>
          </w:p>
        </w:tc>
      </w:tr>
      <w:tr w:rsidR="008A54FC">
        <w:tc>
          <w:tcPr>
            <w:tcW w:w="2088" w:type="dxa"/>
          </w:tcPr>
          <w:p w:rsidR="008A54FC" w:rsidRPr="00077796" w:rsidRDefault="009E5E91" w:rsidP="008A54FC">
            <w:pPr>
              <w:spacing w:line="288" w:lineRule="auto"/>
              <w:rPr>
                <w:b/>
              </w:rPr>
            </w:pPr>
            <w:r w:rsidRPr="00077796">
              <w:rPr>
                <w:b/>
              </w:rPr>
              <w:t>GMSK</w:t>
            </w:r>
          </w:p>
        </w:tc>
        <w:tc>
          <w:tcPr>
            <w:tcW w:w="7767" w:type="dxa"/>
          </w:tcPr>
          <w:p w:rsidR="008A54FC" w:rsidRPr="00077796" w:rsidRDefault="009E4DEF" w:rsidP="008A54FC">
            <w:pPr>
              <w:spacing w:line="288" w:lineRule="auto"/>
            </w:pPr>
            <w:r w:rsidRPr="00077796">
              <w:t>Gaussian Minimum Shift Keying</w:t>
            </w:r>
          </w:p>
        </w:tc>
      </w:tr>
      <w:tr w:rsidR="00AA54AA">
        <w:tc>
          <w:tcPr>
            <w:tcW w:w="2088" w:type="dxa"/>
          </w:tcPr>
          <w:p w:rsidR="00AA54AA" w:rsidRPr="00077796" w:rsidRDefault="00AA54AA" w:rsidP="008A54FC">
            <w:pPr>
              <w:spacing w:line="288" w:lineRule="auto"/>
              <w:rPr>
                <w:b/>
              </w:rPr>
            </w:pPr>
            <w:r w:rsidRPr="00077796">
              <w:rPr>
                <w:b/>
              </w:rPr>
              <w:t>GSM</w:t>
            </w:r>
          </w:p>
        </w:tc>
        <w:tc>
          <w:tcPr>
            <w:tcW w:w="7767" w:type="dxa"/>
          </w:tcPr>
          <w:p w:rsidR="00AA54AA" w:rsidRPr="00077796" w:rsidRDefault="00E21378" w:rsidP="008A54FC">
            <w:pPr>
              <w:spacing w:line="288" w:lineRule="auto"/>
            </w:pPr>
            <w:r w:rsidRPr="00077796">
              <w:t>Global System for Mobile Communications</w:t>
            </w:r>
          </w:p>
        </w:tc>
      </w:tr>
      <w:tr w:rsidR="00AA54AA">
        <w:tc>
          <w:tcPr>
            <w:tcW w:w="2088" w:type="dxa"/>
          </w:tcPr>
          <w:p w:rsidR="00AA54AA" w:rsidRPr="00077796" w:rsidRDefault="00AA54AA" w:rsidP="008A54FC">
            <w:pPr>
              <w:spacing w:line="288" w:lineRule="auto"/>
              <w:rPr>
                <w:b/>
              </w:rPr>
            </w:pPr>
            <w:r w:rsidRPr="00077796">
              <w:rPr>
                <w:b/>
              </w:rPr>
              <w:t>ICASA</w:t>
            </w:r>
          </w:p>
        </w:tc>
        <w:tc>
          <w:tcPr>
            <w:tcW w:w="7767" w:type="dxa"/>
          </w:tcPr>
          <w:p w:rsidR="00AA54AA" w:rsidRPr="00077796" w:rsidRDefault="00E77ECD" w:rsidP="008A54FC">
            <w:pPr>
              <w:spacing w:line="288" w:lineRule="auto"/>
            </w:pPr>
            <w:r w:rsidRPr="00077796">
              <w:t>The Regulator for the South African Communications</w:t>
            </w:r>
          </w:p>
        </w:tc>
      </w:tr>
      <w:tr w:rsidR="008A54FC">
        <w:tc>
          <w:tcPr>
            <w:tcW w:w="2088" w:type="dxa"/>
          </w:tcPr>
          <w:p w:rsidR="008A54FC" w:rsidRPr="00077796" w:rsidRDefault="00AA54AA" w:rsidP="008A54FC">
            <w:pPr>
              <w:spacing w:line="288" w:lineRule="auto"/>
              <w:rPr>
                <w:b/>
              </w:rPr>
            </w:pPr>
            <w:r w:rsidRPr="00077796">
              <w:rPr>
                <w:b/>
              </w:rPr>
              <w:t>ISO</w:t>
            </w:r>
          </w:p>
        </w:tc>
        <w:tc>
          <w:tcPr>
            <w:tcW w:w="7767" w:type="dxa"/>
          </w:tcPr>
          <w:p w:rsidR="008A54FC" w:rsidRPr="00077796" w:rsidRDefault="00E77ECD" w:rsidP="009E5E91">
            <w:pPr>
              <w:spacing w:line="288" w:lineRule="auto"/>
            </w:pPr>
            <w:r w:rsidRPr="00077796">
              <w:t>International</w:t>
            </w:r>
            <w:r w:rsidRPr="00077796">
              <w:rPr>
                <w:lang w:val="en-GB"/>
              </w:rPr>
              <w:t xml:space="preserve"> Organisation</w:t>
            </w:r>
            <w:r w:rsidRPr="00077796">
              <w:t xml:space="preserve"> for</w:t>
            </w:r>
            <w:r w:rsidRPr="00077796">
              <w:rPr>
                <w:lang w:val="en-GB"/>
              </w:rPr>
              <w:t xml:space="preserve"> Standardisation</w:t>
            </w:r>
          </w:p>
        </w:tc>
      </w:tr>
      <w:tr w:rsidR="00DD1D4B">
        <w:tc>
          <w:tcPr>
            <w:tcW w:w="2088" w:type="dxa"/>
          </w:tcPr>
          <w:p w:rsidR="00DD1D4B" w:rsidRPr="00077796" w:rsidRDefault="00DD1D4B" w:rsidP="008A54FC">
            <w:pPr>
              <w:spacing w:line="288" w:lineRule="auto"/>
              <w:rPr>
                <w:b/>
              </w:rPr>
            </w:pPr>
            <w:r w:rsidRPr="00077796">
              <w:rPr>
                <w:b/>
              </w:rPr>
              <w:t>ITU-R</w:t>
            </w:r>
          </w:p>
        </w:tc>
        <w:tc>
          <w:tcPr>
            <w:tcW w:w="7767" w:type="dxa"/>
          </w:tcPr>
          <w:p w:rsidR="00DD1D4B" w:rsidRPr="00077796" w:rsidRDefault="009E4DEF" w:rsidP="009E5E91">
            <w:pPr>
              <w:spacing w:line="288" w:lineRule="auto"/>
            </w:pPr>
            <w:r w:rsidRPr="00077796">
              <w:t>International Telecommunication Union-Recommendation</w:t>
            </w:r>
          </w:p>
        </w:tc>
      </w:tr>
      <w:tr w:rsidR="00AA54AA">
        <w:tc>
          <w:tcPr>
            <w:tcW w:w="2088" w:type="dxa"/>
          </w:tcPr>
          <w:p w:rsidR="00AA54AA" w:rsidRPr="00077796" w:rsidRDefault="00AA54AA" w:rsidP="008A54FC">
            <w:pPr>
              <w:spacing w:line="288" w:lineRule="auto"/>
              <w:rPr>
                <w:b/>
              </w:rPr>
            </w:pPr>
            <w:r w:rsidRPr="00077796">
              <w:rPr>
                <w:b/>
              </w:rPr>
              <w:t>LBT</w:t>
            </w:r>
          </w:p>
        </w:tc>
        <w:tc>
          <w:tcPr>
            <w:tcW w:w="7767" w:type="dxa"/>
          </w:tcPr>
          <w:p w:rsidR="00AA54AA" w:rsidRPr="00077796" w:rsidRDefault="009E4DEF" w:rsidP="009E5E91">
            <w:pPr>
              <w:spacing w:line="288" w:lineRule="auto"/>
            </w:pPr>
            <w:r w:rsidRPr="00077796">
              <w:t>Listen Before Talk</w:t>
            </w:r>
          </w:p>
        </w:tc>
      </w:tr>
      <w:tr w:rsidR="00AA54AA">
        <w:tc>
          <w:tcPr>
            <w:tcW w:w="2088" w:type="dxa"/>
          </w:tcPr>
          <w:p w:rsidR="00AA54AA" w:rsidRPr="00077796" w:rsidRDefault="00AA54AA" w:rsidP="008A54FC">
            <w:pPr>
              <w:spacing w:line="288" w:lineRule="auto"/>
              <w:rPr>
                <w:b/>
              </w:rPr>
            </w:pPr>
            <w:r w:rsidRPr="00077796">
              <w:rPr>
                <w:b/>
              </w:rPr>
              <w:t>LDC</w:t>
            </w:r>
          </w:p>
        </w:tc>
        <w:tc>
          <w:tcPr>
            <w:tcW w:w="7767" w:type="dxa"/>
          </w:tcPr>
          <w:p w:rsidR="00AA54AA" w:rsidRPr="00077796" w:rsidRDefault="00AA54AA" w:rsidP="009E5E91">
            <w:pPr>
              <w:spacing w:line="288" w:lineRule="auto"/>
            </w:pPr>
            <w:r w:rsidRPr="00077796">
              <w:t>Low Duty Cycle</w:t>
            </w:r>
          </w:p>
        </w:tc>
      </w:tr>
      <w:tr w:rsidR="00DD1D4B">
        <w:tc>
          <w:tcPr>
            <w:tcW w:w="2088" w:type="dxa"/>
          </w:tcPr>
          <w:p w:rsidR="00DD1D4B" w:rsidRPr="00077796" w:rsidRDefault="00DD1D4B" w:rsidP="008A54FC">
            <w:pPr>
              <w:spacing w:line="288" w:lineRule="auto"/>
              <w:rPr>
                <w:b/>
              </w:rPr>
            </w:pPr>
            <w:r w:rsidRPr="00077796">
              <w:rPr>
                <w:b/>
              </w:rPr>
              <w:t>LPRA</w:t>
            </w:r>
          </w:p>
        </w:tc>
        <w:tc>
          <w:tcPr>
            <w:tcW w:w="7767" w:type="dxa"/>
          </w:tcPr>
          <w:p w:rsidR="00DD1D4B" w:rsidRPr="00077796" w:rsidRDefault="009E4DEF" w:rsidP="009E5E91">
            <w:pPr>
              <w:spacing w:line="288" w:lineRule="auto"/>
            </w:pPr>
            <w:r w:rsidRPr="00077796">
              <w:t>Low Power</w:t>
            </w:r>
          </w:p>
        </w:tc>
      </w:tr>
      <w:tr w:rsidR="008A54FC" w:rsidRPr="009E5E91">
        <w:tc>
          <w:tcPr>
            <w:tcW w:w="2088" w:type="dxa"/>
          </w:tcPr>
          <w:p w:rsidR="008A54FC" w:rsidRPr="00077796" w:rsidRDefault="009E5E91" w:rsidP="008A54FC">
            <w:pPr>
              <w:spacing w:line="288" w:lineRule="auto"/>
              <w:rPr>
                <w:b/>
              </w:rPr>
            </w:pPr>
            <w:r w:rsidRPr="00077796">
              <w:rPr>
                <w:b/>
              </w:rPr>
              <w:t>MSK</w:t>
            </w:r>
          </w:p>
        </w:tc>
        <w:tc>
          <w:tcPr>
            <w:tcW w:w="7767" w:type="dxa"/>
          </w:tcPr>
          <w:p w:rsidR="008A54FC" w:rsidRPr="00077796" w:rsidRDefault="009E4DEF" w:rsidP="008A54FC">
            <w:pPr>
              <w:spacing w:line="288" w:lineRule="auto"/>
              <w:rPr>
                <w:lang w:val="da-DK"/>
              </w:rPr>
            </w:pPr>
            <w:r w:rsidRPr="00077796">
              <w:rPr>
                <w:lang w:val="da-DK"/>
              </w:rPr>
              <w:t>Minimum-shift keying</w:t>
            </w:r>
          </w:p>
        </w:tc>
      </w:tr>
      <w:tr w:rsidR="00DD1D4B" w:rsidRPr="009E5E91">
        <w:tc>
          <w:tcPr>
            <w:tcW w:w="2088" w:type="dxa"/>
          </w:tcPr>
          <w:p w:rsidR="00DD1D4B" w:rsidRPr="00077796" w:rsidRDefault="00DD1D4B" w:rsidP="008A54FC">
            <w:pPr>
              <w:spacing w:line="288" w:lineRule="auto"/>
              <w:rPr>
                <w:b/>
              </w:rPr>
            </w:pPr>
            <w:r w:rsidRPr="00077796">
              <w:rPr>
                <w:b/>
              </w:rPr>
              <w:t>NRA</w:t>
            </w:r>
          </w:p>
        </w:tc>
        <w:tc>
          <w:tcPr>
            <w:tcW w:w="7767" w:type="dxa"/>
          </w:tcPr>
          <w:p w:rsidR="00DD1D4B" w:rsidRPr="00077796" w:rsidRDefault="00E77ECD" w:rsidP="008A54FC">
            <w:pPr>
              <w:spacing w:line="288" w:lineRule="auto"/>
              <w:rPr>
                <w:lang w:val="da-DK"/>
              </w:rPr>
            </w:pPr>
            <w:r w:rsidRPr="00077796">
              <w:rPr>
                <w:lang w:val="da-DK"/>
              </w:rPr>
              <w:t>National Rifle Association</w:t>
            </w:r>
          </w:p>
        </w:tc>
      </w:tr>
      <w:tr w:rsidR="009E5E91" w:rsidRPr="009E5E91">
        <w:tc>
          <w:tcPr>
            <w:tcW w:w="2088" w:type="dxa"/>
          </w:tcPr>
          <w:p w:rsidR="009E5E91" w:rsidRPr="00077796" w:rsidRDefault="009E5E91" w:rsidP="008A54FC">
            <w:pPr>
              <w:spacing w:line="288" w:lineRule="auto"/>
              <w:rPr>
                <w:b/>
              </w:rPr>
            </w:pPr>
            <w:r w:rsidRPr="00077796">
              <w:rPr>
                <w:b/>
              </w:rPr>
              <w:t>PR-ASK</w:t>
            </w:r>
          </w:p>
        </w:tc>
        <w:tc>
          <w:tcPr>
            <w:tcW w:w="7767" w:type="dxa"/>
          </w:tcPr>
          <w:p w:rsidR="009E5E91" w:rsidRPr="00077796" w:rsidRDefault="00077796" w:rsidP="008A54FC">
            <w:pPr>
              <w:spacing w:line="288" w:lineRule="auto"/>
            </w:pPr>
            <w:r w:rsidRPr="00077796">
              <w:t>Phase Reversed Amplitude Shift Keying</w:t>
            </w:r>
          </w:p>
        </w:tc>
      </w:tr>
      <w:tr w:rsidR="00AA54AA" w:rsidRPr="009E5E91">
        <w:tc>
          <w:tcPr>
            <w:tcW w:w="2088" w:type="dxa"/>
          </w:tcPr>
          <w:p w:rsidR="00AA54AA" w:rsidRPr="00077796" w:rsidRDefault="00DD1D4B" w:rsidP="008A54FC">
            <w:pPr>
              <w:spacing w:line="288" w:lineRule="auto"/>
              <w:rPr>
                <w:b/>
              </w:rPr>
            </w:pPr>
            <w:r w:rsidRPr="00077796">
              <w:rPr>
                <w:b/>
              </w:rPr>
              <w:t>RF</w:t>
            </w:r>
          </w:p>
        </w:tc>
        <w:tc>
          <w:tcPr>
            <w:tcW w:w="7767" w:type="dxa"/>
          </w:tcPr>
          <w:p w:rsidR="00AA54AA" w:rsidRPr="00077796" w:rsidRDefault="00E21378" w:rsidP="008A54FC">
            <w:pPr>
              <w:spacing w:line="288" w:lineRule="auto"/>
              <w:rPr>
                <w:lang w:val="da-DK"/>
              </w:rPr>
            </w:pPr>
            <w:r w:rsidRPr="00077796">
              <w:rPr>
                <w:lang w:val="da-DK"/>
              </w:rPr>
              <w:t>Radio Frequency</w:t>
            </w:r>
          </w:p>
        </w:tc>
      </w:tr>
      <w:tr w:rsidR="009E5E91" w:rsidRPr="009E5E91">
        <w:tc>
          <w:tcPr>
            <w:tcW w:w="2088" w:type="dxa"/>
          </w:tcPr>
          <w:p w:rsidR="009E5E91" w:rsidRDefault="009E5E91" w:rsidP="008A54FC">
            <w:pPr>
              <w:spacing w:line="288" w:lineRule="auto"/>
              <w:rPr>
                <w:b/>
              </w:rPr>
            </w:pPr>
            <w:r>
              <w:rPr>
                <w:b/>
              </w:rPr>
              <w:t>RFID</w:t>
            </w:r>
          </w:p>
        </w:tc>
        <w:tc>
          <w:tcPr>
            <w:tcW w:w="7767" w:type="dxa"/>
          </w:tcPr>
          <w:p w:rsidR="009E5E91" w:rsidRPr="009E5E91" w:rsidRDefault="009E4DEF" w:rsidP="008A54FC">
            <w:pPr>
              <w:spacing w:line="288" w:lineRule="auto"/>
              <w:rPr>
                <w:lang w:val="da-DK"/>
              </w:rPr>
            </w:pPr>
            <w:r>
              <w:rPr>
                <w:lang w:val="da-DK"/>
              </w:rPr>
              <w:t>Radio Frequency Identification</w:t>
            </w:r>
          </w:p>
        </w:tc>
      </w:tr>
      <w:tr w:rsidR="00AA54AA" w:rsidRPr="009E5E91">
        <w:tc>
          <w:tcPr>
            <w:tcW w:w="2088" w:type="dxa"/>
          </w:tcPr>
          <w:p w:rsidR="00AA54AA" w:rsidRDefault="00AA54AA" w:rsidP="008A54FC">
            <w:pPr>
              <w:spacing w:line="288" w:lineRule="auto"/>
              <w:rPr>
                <w:b/>
              </w:rPr>
            </w:pPr>
            <w:r>
              <w:rPr>
                <w:b/>
              </w:rPr>
              <w:t>RIS</w:t>
            </w:r>
          </w:p>
        </w:tc>
        <w:tc>
          <w:tcPr>
            <w:tcW w:w="7767" w:type="dxa"/>
          </w:tcPr>
          <w:p w:rsidR="00AA54AA" w:rsidRPr="009E5E91" w:rsidRDefault="00E77ECD" w:rsidP="00E77ECD">
            <w:pPr>
              <w:spacing w:line="288" w:lineRule="auto"/>
              <w:rPr>
                <w:lang w:val="da-DK"/>
              </w:rPr>
            </w:pPr>
            <w:r>
              <w:rPr>
                <w:lang w:val="da-DK"/>
              </w:rPr>
              <w:t>Research and Information System</w:t>
            </w:r>
          </w:p>
        </w:tc>
      </w:tr>
      <w:tr w:rsidR="00AA54AA" w:rsidRPr="009E4DEF">
        <w:tc>
          <w:tcPr>
            <w:tcW w:w="2088" w:type="dxa"/>
          </w:tcPr>
          <w:p w:rsidR="00AA54AA" w:rsidRDefault="00AA54AA" w:rsidP="008A54FC">
            <w:pPr>
              <w:spacing w:line="288" w:lineRule="auto"/>
              <w:rPr>
                <w:b/>
              </w:rPr>
            </w:pPr>
            <w:r>
              <w:rPr>
                <w:b/>
              </w:rPr>
              <w:t>SRD-MG</w:t>
            </w:r>
          </w:p>
        </w:tc>
        <w:tc>
          <w:tcPr>
            <w:tcW w:w="7767" w:type="dxa"/>
          </w:tcPr>
          <w:p w:rsidR="00AA54AA" w:rsidRPr="009E4DEF" w:rsidRDefault="009E4DEF" w:rsidP="008A54FC">
            <w:pPr>
              <w:spacing w:line="288" w:lineRule="auto"/>
            </w:pPr>
            <w:r w:rsidRPr="009E4DEF">
              <w:t>Short Range Devices-Management Group</w:t>
            </w:r>
          </w:p>
        </w:tc>
      </w:tr>
      <w:tr w:rsidR="00AA54AA" w:rsidRPr="009E5E91">
        <w:tc>
          <w:tcPr>
            <w:tcW w:w="2088" w:type="dxa"/>
          </w:tcPr>
          <w:p w:rsidR="00AA54AA" w:rsidRDefault="00AA54AA" w:rsidP="008A54FC">
            <w:pPr>
              <w:spacing w:line="288" w:lineRule="auto"/>
              <w:rPr>
                <w:b/>
              </w:rPr>
            </w:pPr>
            <w:r>
              <w:rPr>
                <w:b/>
              </w:rPr>
              <w:t>TDMA</w:t>
            </w:r>
          </w:p>
        </w:tc>
        <w:tc>
          <w:tcPr>
            <w:tcW w:w="7767" w:type="dxa"/>
          </w:tcPr>
          <w:p w:rsidR="00AA54AA" w:rsidRPr="009E5E91" w:rsidRDefault="00E77ECD" w:rsidP="008A54FC">
            <w:pPr>
              <w:spacing w:line="288" w:lineRule="auto"/>
              <w:rPr>
                <w:lang w:val="da-DK"/>
              </w:rPr>
            </w:pPr>
            <w:r>
              <w:rPr>
                <w:lang w:val="da-DK"/>
              </w:rPr>
              <w:t>Time Division Multiple Access</w:t>
            </w:r>
          </w:p>
        </w:tc>
      </w:tr>
      <w:tr w:rsidR="00E30B65" w:rsidRPr="009E5E91">
        <w:tc>
          <w:tcPr>
            <w:tcW w:w="2088" w:type="dxa"/>
          </w:tcPr>
          <w:p w:rsidR="00E30B65" w:rsidRDefault="00E30B65" w:rsidP="008A54FC">
            <w:pPr>
              <w:spacing w:line="288" w:lineRule="auto"/>
              <w:rPr>
                <w:b/>
              </w:rPr>
            </w:pPr>
            <w:r>
              <w:rPr>
                <w:b/>
              </w:rPr>
              <w:t>TX</w:t>
            </w:r>
          </w:p>
        </w:tc>
        <w:tc>
          <w:tcPr>
            <w:tcW w:w="7767" w:type="dxa"/>
          </w:tcPr>
          <w:p w:rsidR="00E30B65" w:rsidRPr="009E5E91" w:rsidRDefault="009E4DEF" w:rsidP="008A54FC">
            <w:pPr>
              <w:spacing w:line="288" w:lineRule="auto"/>
              <w:rPr>
                <w:lang w:val="da-DK"/>
              </w:rPr>
            </w:pPr>
            <w:r>
              <w:rPr>
                <w:lang w:val="da-DK"/>
              </w:rPr>
              <w:t>Transmitters</w:t>
            </w:r>
          </w:p>
        </w:tc>
      </w:tr>
      <w:tr w:rsidR="004B184C" w:rsidRPr="009E5E91">
        <w:tc>
          <w:tcPr>
            <w:tcW w:w="2088" w:type="dxa"/>
          </w:tcPr>
          <w:p w:rsidR="004B184C" w:rsidRDefault="004B184C" w:rsidP="008A54FC">
            <w:pPr>
              <w:spacing w:line="288" w:lineRule="auto"/>
              <w:rPr>
                <w:b/>
              </w:rPr>
            </w:pPr>
            <w:r>
              <w:rPr>
                <w:b/>
              </w:rPr>
              <w:t>UHF</w:t>
            </w:r>
          </w:p>
        </w:tc>
        <w:tc>
          <w:tcPr>
            <w:tcW w:w="7767" w:type="dxa"/>
          </w:tcPr>
          <w:p w:rsidR="004B184C" w:rsidRPr="009E5E91" w:rsidRDefault="00E77ECD" w:rsidP="008A54FC">
            <w:pPr>
              <w:spacing w:line="288" w:lineRule="auto"/>
              <w:rPr>
                <w:lang w:val="da-DK"/>
              </w:rPr>
            </w:pPr>
            <w:r>
              <w:rPr>
                <w:lang w:val="da-DK"/>
              </w:rPr>
              <w:t>Ultra High Frequency</w:t>
            </w:r>
          </w:p>
        </w:tc>
      </w:tr>
      <w:tr w:rsidR="00DD1D4B" w:rsidRPr="009E5E91">
        <w:tc>
          <w:tcPr>
            <w:tcW w:w="2088" w:type="dxa"/>
          </w:tcPr>
          <w:p w:rsidR="00DD1D4B" w:rsidRDefault="00DD1D4B" w:rsidP="008A54FC">
            <w:pPr>
              <w:spacing w:line="288" w:lineRule="auto"/>
              <w:rPr>
                <w:b/>
              </w:rPr>
            </w:pPr>
            <w:r>
              <w:rPr>
                <w:b/>
              </w:rPr>
              <w:t>WG</w:t>
            </w:r>
            <w:r w:rsidR="009E4DEF">
              <w:rPr>
                <w:b/>
              </w:rPr>
              <w:t xml:space="preserve"> </w:t>
            </w:r>
            <w:r>
              <w:rPr>
                <w:b/>
              </w:rPr>
              <w:t>FM</w:t>
            </w:r>
          </w:p>
        </w:tc>
        <w:tc>
          <w:tcPr>
            <w:tcW w:w="7767" w:type="dxa"/>
          </w:tcPr>
          <w:p w:rsidR="00DD1D4B" w:rsidRPr="009E5E91" w:rsidRDefault="009E4DEF" w:rsidP="008A54FC">
            <w:pPr>
              <w:spacing w:line="288" w:lineRule="auto"/>
              <w:rPr>
                <w:lang w:val="da-DK"/>
              </w:rPr>
            </w:pPr>
            <w:r>
              <w:rPr>
                <w:lang w:val="da-DK"/>
              </w:rPr>
              <w:t>Working Group Frequency Management</w:t>
            </w:r>
          </w:p>
        </w:tc>
      </w:tr>
      <w:tr w:rsidR="00AA54AA" w:rsidRPr="00E77ECD">
        <w:tc>
          <w:tcPr>
            <w:tcW w:w="2088" w:type="dxa"/>
          </w:tcPr>
          <w:p w:rsidR="00AA54AA" w:rsidRDefault="00DD1D4B" w:rsidP="008A54FC">
            <w:pPr>
              <w:spacing w:line="288" w:lineRule="auto"/>
              <w:rPr>
                <w:b/>
              </w:rPr>
            </w:pPr>
            <w:r>
              <w:rPr>
                <w:b/>
              </w:rPr>
              <w:t>ZVEI</w:t>
            </w:r>
          </w:p>
        </w:tc>
        <w:tc>
          <w:tcPr>
            <w:tcW w:w="7767" w:type="dxa"/>
          </w:tcPr>
          <w:p w:rsidR="00AA54AA" w:rsidRPr="00E77ECD" w:rsidRDefault="00E77ECD" w:rsidP="008A54FC">
            <w:pPr>
              <w:spacing w:line="288" w:lineRule="auto"/>
            </w:pPr>
            <w:r w:rsidRPr="00E77ECD">
              <w:t>Central Association for Electrical and Electronic Industry</w:t>
            </w:r>
          </w:p>
        </w:tc>
      </w:tr>
    </w:tbl>
    <w:p w:rsidR="00797D4C" w:rsidRDefault="009E51D5" w:rsidP="00A472B6">
      <w:pPr>
        <w:pStyle w:val="Heading1"/>
      </w:pPr>
      <w:bookmarkStart w:id="1" w:name="_Toc311472689"/>
      <w:bookmarkStart w:id="2" w:name="_Toc323545843"/>
      <w:r>
        <w:lastRenderedPageBreak/>
        <w:t>who responded</w:t>
      </w:r>
      <w:bookmarkEnd w:id="1"/>
      <w:bookmarkEnd w:id="2"/>
    </w:p>
    <w:p w:rsidR="009E51D5" w:rsidRPr="00ED7BE1" w:rsidRDefault="009E51D5" w:rsidP="009E51D5">
      <w:pPr>
        <w:pStyle w:val="ECCParagraph"/>
      </w:pPr>
      <w:r w:rsidRPr="00ED7BE1">
        <w:t xml:space="preserve">5 administrations replied. </w:t>
      </w:r>
      <w:r>
        <w:t xml:space="preserve">Of these, </w:t>
      </w:r>
      <w:r w:rsidRPr="00ED7BE1">
        <w:t xml:space="preserve">3 European administrations provided feedback stating that they could not contribute </w:t>
      </w:r>
      <w:r>
        <w:t xml:space="preserve">answers </w:t>
      </w:r>
      <w:r w:rsidRPr="00ED7BE1">
        <w:t xml:space="preserve">to the questionnaire. </w:t>
      </w:r>
      <w:r>
        <w:t>A</w:t>
      </w:r>
      <w:r w:rsidRPr="00ED7BE1">
        <w:t>dministration</w:t>
      </w:r>
      <w:r>
        <w:t>s</w:t>
      </w:r>
      <w:r w:rsidRPr="00ED7BE1">
        <w:t xml:space="preserve"> from South Africa and the Ukraine contributed </w:t>
      </w:r>
      <w:r>
        <w:t xml:space="preserve">some material </w:t>
      </w:r>
      <w:r w:rsidRPr="00ED7BE1">
        <w:t>and are included in the evaluation of the responses.</w:t>
      </w:r>
    </w:p>
    <w:p w:rsidR="009E51D5" w:rsidRPr="00ED7BE1" w:rsidRDefault="009E51D5" w:rsidP="009E51D5">
      <w:pPr>
        <w:pStyle w:val="ECCParagraph"/>
      </w:pPr>
      <w:r w:rsidRPr="00ED7BE1">
        <w:t>All other responses have been received from industry</w:t>
      </w:r>
      <w:r>
        <w:t xml:space="preserve">. 5 </w:t>
      </w:r>
      <w:r w:rsidRPr="00ED7BE1">
        <w:t>industry/ trade associations provided a response, i.e. the British Security Industry Association (BSIA), Digital Europe, Swiss Verband fuer Sicherheitsanlagen, Euro</w:t>
      </w:r>
      <w:r>
        <w:t xml:space="preserve"> </w:t>
      </w:r>
      <w:r w:rsidRPr="00ED7BE1">
        <w:t>alarm and European Automotive Manufacturer Association</w:t>
      </w:r>
      <w:r w:rsidR="009E5E91" w:rsidRPr="009E5E91">
        <w:t xml:space="preserve"> </w:t>
      </w:r>
      <w:r w:rsidR="009E5E91">
        <w:t>(</w:t>
      </w:r>
      <w:r w:rsidR="009E5E91" w:rsidRPr="00ED7BE1">
        <w:t>ACEA</w:t>
      </w:r>
      <w:r w:rsidR="009E5E91">
        <w:t>)</w:t>
      </w:r>
      <w:r w:rsidRPr="00ED7BE1">
        <w:t>. Some responses included answers from more than one product/business unit from the respective company.</w:t>
      </w:r>
    </w:p>
    <w:p w:rsidR="009E51D5" w:rsidRDefault="009E51D5" w:rsidP="009E51D5">
      <w:pPr>
        <w:pStyle w:val="ECCParagraph"/>
      </w:pPr>
      <w:r w:rsidRPr="00ED7BE1">
        <w:t xml:space="preserve">The activity of the responders was indicated as follows in </w:t>
      </w:r>
      <w:r>
        <w:fldChar w:fldCharType="begin"/>
      </w:r>
      <w:r>
        <w:instrText xml:space="preserve"> REF _Ref311471023 \h </w:instrText>
      </w:r>
      <w:r>
        <w:fldChar w:fldCharType="separate"/>
      </w:r>
      <w:r w:rsidR="001A06A7">
        <w:rPr>
          <w:b/>
          <w:bCs/>
          <w:lang w:val="en-US"/>
        </w:rPr>
        <w:t>Error! Reference source not found.</w:t>
      </w:r>
      <w:r>
        <w:fldChar w:fldCharType="end"/>
      </w:r>
      <w:r w:rsidRPr="00ED7BE1">
        <w:t xml:space="preserve"> (multiple choices possible):</w:t>
      </w:r>
    </w:p>
    <w:p w:rsidR="009E51D5" w:rsidRDefault="009E51D5" w:rsidP="009E51D5">
      <w:pPr>
        <w:pStyle w:val="ECCParagraph"/>
        <w:jc w:val="center"/>
        <w:rPr>
          <w:rFonts w:cs="Arial"/>
          <w:bCs/>
        </w:rPr>
      </w:pPr>
      <w:r>
        <w:rPr>
          <w:rFonts w:cs="Arial"/>
          <w:bCs/>
          <w:noProof/>
          <w:lang w:val="da-DK" w:eastAsia="da-DK"/>
        </w:rPr>
        <w:drawing>
          <wp:inline distT="0" distB="0" distL="0" distR="0" wp14:anchorId="02C00CAC" wp14:editId="1CB2C4E1">
            <wp:extent cx="4330700" cy="2794000"/>
            <wp:effectExtent l="0" t="0" r="0" b="0"/>
            <wp:docPr id="15" name="Chart 1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E51D5" w:rsidRDefault="009E51D5" w:rsidP="009E51D5">
      <w:pPr>
        <w:pStyle w:val="Caption"/>
      </w:pPr>
      <w:r>
        <w:t xml:space="preserve">Figure </w:t>
      </w:r>
      <w:r>
        <w:fldChar w:fldCharType="begin"/>
      </w:r>
      <w:r>
        <w:instrText xml:space="preserve"> SEQ Figure \* ARABIC </w:instrText>
      </w:r>
      <w:r>
        <w:fldChar w:fldCharType="separate"/>
      </w:r>
      <w:r w:rsidR="001A06A7">
        <w:rPr>
          <w:noProof/>
        </w:rPr>
        <w:t>1</w:t>
      </w:r>
      <w:r>
        <w:rPr>
          <w:noProof/>
        </w:rPr>
        <w:fldChar w:fldCharType="end"/>
      </w:r>
      <w:r>
        <w:t>: Field of activity of the responders</w:t>
      </w:r>
    </w:p>
    <w:p w:rsidR="009E51D5" w:rsidRDefault="009E51D5" w:rsidP="009E51D5">
      <w:pPr>
        <w:pStyle w:val="ECCParagraph"/>
      </w:pPr>
      <w:r>
        <w:t xml:space="preserve">As can be seen, </w:t>
      </w:r>
      <w:r w:rsidRPr="00ED7BE1">
        <w:t>the vast majority of all answers have come from manufacturers of wireless products, either the radio module or the end product</w:t>
      </w:r>
      <w:r>
        <w:t>.</w:t>
      </w:r>
    </w:p>
    <w:p w:rsidR="009E51D5" w:rsidRDefault="009E51D5" w:rsidP="009E51D5">
      <w:pPr>
        <w:pStyle w:val="ECCParagraph"/>
      </w:pPr>
      <w:r w:rsidRPr="00163D0C">
        <w:t>The persons’ responsibility at the company who was in charge of sending a response was indicated as follows:</w:t>
      </w:r>
    </w:p>
    <w:p w:rsidR="009E51D5" w:rsidRDefault="009E51D5" w:rsidP="009E51D5">
      <w:pPr>
        <w:pStyle w:val="ECCParagraph"/>
        <w:jc w:val="center"/>
        <w:rPr>
          <w:rFonts w:cs="Arial"/>
          <w:bCs/>
        </w:rPr>
      </w:pPr>
      <w:r>
        <w:rPr>
          <w:rFonts w:cs="Arial"/>
          <w:bCs/>
          <w:noProof/>
          <w:lang w:val="da-DK" w:eastAsia="da-DK"/>
        </w:rPr>
        <w:drawing>
          <wp:inline distT="0" distB="0" distL="0" distR="0" wp14:anchorId="1137B907" wp14:editId="21C1FF19">
            <wp:extent cx="3162300" cy="1828800"/>
            <wp:effectExtent l="0" t="0" r="0" b="0"/>
            <wp:docPr id="16" name="Chart 1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E51D5" w:rsidRDefault="009E51D5" w:rsidP="009E51D5">
      <w:pPr>
        <w:pStyle w:val="ECCFiguretitle"/>
        <w:numPr>
          <w:ilvl w:val="0"/>
          <w:numId w:val="0"/>
        </w:numPr>
        <w:ind w:left="360"/>
      </w:pPr>
      <w:r>
        <w:t xml:space="preserve">Figure </w:t>
      </w:r>
      <w:fldSimple w:instr=" SEQ Figure \* ARABIC ">
        <w:r w:rsidR="001A06A7">
          <w:rPr>
            <w:noProof/>
          </w:rPr>
          <w:t>2</w:t>
        </w:r>
      </w:fldSimple>
      <w:r w:rsidRPr="00ED7BE1">
        <w:t>: Responsibility of the person who provided the response</w:t>
      </w:r>
    </w:p>
    <w:p w:rsidR="009E51D5" w:rsidRPr="00ED7BE1" w:rsidRDefault="009E51D5" w:rsidP="009E51D5">
      <w:pPr>
        <w:pStyle w:val="ECCParagraph"/>
      </w:pPr>
      <w:r w:rsidRPr="00ED7BE1">
        <w:lastRenderedPageBreak/>
        <w:t>This shows that it can be assumed that the responders had a good knowledge of the current regulations. Almost all responders stated that there is a person responsible for the compliance of their product with the regulatory and standards’ framework</w:t>
      </w:r>
      <w:r>
        <w:t xml:space="preserve"> in their company/organisation</w:t>
      </w:r>
      <w:r w:rsidRPr="00ED7BE1">
        <w:t xml:space="preserve">. </w:t>
      </w:r>
    </w:p>
    <w:p w:rsidR="009E51D5" w:rsidRPr="00ED7BE1" w:rsidRDefault="009E51D5" w:rsidP="009E51D5">
      <w:pPr>
        <w:pStyle w:val="ECCParagraph"/>
      </w:pPr>
      <w:r w:rsidRPr="00ED7BE1">
        <w:t xml:space="preserve">In addition, all responders stated that they had understood the aim of the questionnaire and that they already provide products operating in </w:t>
      </w:r>
      <w:r>
        <w:t xml:space="preserve">all or parts of </w:t>
      </w:r>
      <w:r w:rsidRPr="00ED7BE1">
        <w:t xml:space="preserve">the 863-870 MHz range. </w:t>
      </w:r>
    </w:p>
    <w:p w:rsidR="009E51D5" w:rsidRDefault="009E51D5" w:rsidP="009E51D5">
      <w:pPr>
        <w:pStyle w:val="ECCParagraph"/>
      </w:pPr>
      <w:r w:rsidRPr="00ED7BE1">
        <w:t>The latter point made question 4 of the questionnaire obsolete since the question was only applicable if the manufacturer was in the product planning stage. Some responders used question 4 to indicate that they see the need for additional UHF spectrum in the future</w:t>
      </w:r>
      <w:r>
        <w:t>.</w:t>
      </w:r>
    </w:p>
    <w:p w:rsidR="009E51D5" w:rsidRDefault="009E51D5" w:rsidP="009E51D5">
      <w:pPr>
        <w:pStyle w:val="Caption"/>
      </w:pPr>
      <w:r>
        <w:t xml:space="preserve">Table </w:t>
      </w:r>
      <w:r>
        <w:fldChar w:fldCharType="begin"/>
      </w:r>
      <w:r>
        <w:instrText xml:space="preserve"> SEQ Table \* ARABIC </w:instrText>
      </w:r>
      <w:r>
        <w:fldChar w:fldCharType="separate"/>
      </w:r>
      <w:r w:rsidR="001A06A7">
        <w:rPr>
          <w:noProof/>
        </w:rPr>
        <w:t>1</w:t>
      </w:r>
      <w:r>
        <w:fldChar w:fldCharType="end"/>
      </w:r>
      <w:r>
        <w:t>: Responses received</w:t>
      </w:r>
    </w:p>
    <w:tbl>
      <w:tblPr>
        <w:tblW w:w="0" w:type="auto"/>
        <w:tblBorders>
          <w:top w:val="single" w:sz="4" w:space="0" w:color="D2232A"/>
          <w:left w:val="single" w:sz="4" w:space="0" w:color="D2232A"/>
          <w:bottom w:val="single" w:sz="4" w:space="0" w:color="D2232A"/>
          <w:right w:val="single" w:sz="4" w:space="0" w:color="D2232A"/>
          <w:insideH w:val="single" w:sz="4" w:space="0" w:color="D2232A"/>
          <w:insideV w:val="single" w:sz="4" w:space="0" w:color="D2232A"/>
        </w:tblBorders>
        <w:tblCellMar>
          <w:top w:w="11" w:type="dxa"/>
          <w:bottom w:w="11" w:type="dxa"/>
        </w:tblCellMar>
        <w:tblLook w:val="01E0" w:firstRow="1" w:lastRow="1" w:firstColumn="1" w:lastColumn="1" w:noHBand="0" w:noVBand="0"/>
      </w:tblPr>
      <w:tblGrid>
        <w:gridCol w:w="4928"/>
        <w:gridCol w:w="4927"/>
      </w:tblGrid>
      <w:tr w:rsidR="009E51D5" w:rsidRPr="00D00317" w:rsidTr="009E51D5">
        <w:trPr>
          <w:trHeight w:val="409"/>
          <w:tblHeader/>
        </w:trPr>
        <w:tc>
          <w:tcPr>
            <w:tcW w:w="9855" w:type="dxa"/>
            <w:gridSpan w:val="2"/>
            <w:shd w:val="clear" w:color="auto" w:fill="D2232A"/>
            <w:vAlign w:val="center"/>
          </w:tcPr>
          <w:p w:rsidR="009E51D5" w:rsidRPr="008F612F" w:rsidRDefault="009E51D5" w:rsidP="008F612F">
            <w:pPr>
              <w:pStyle w:val="ECCParagraph"/>
              <w:spacing w:before="120" w:after="120"/>
              <w:jc w:val="center"/>
              <w:rPr>
                <w:b/>
                <w:color w:val="FFFFFF"/>
              </w:rPr>
            </w:pPr>
            <w:r w:rsidRPr="008F612F">
              <w:rPr>
                <w:b/>
                <w:color w:val="FFFFFF" w:themeColor="background1"/>
              </w:rPr>
              <w:t>Responses from the following industries and organisations were received</w:t>
            </w:r>
          </w:p>
        </w:tc>
      </w:tr>
      <w:tr w:rsidR="009E51D5" w:rsidRPr="00D00317" w:rsidTr="009E51D5">
        <w:tc>
          <w:tcPr>
            <w:tcW w:w="4928" w:type="dxa"/>
            <w:vAlign w:val="center"/>
          </w:tcPr>
          <w:p w:rsidR="009E51D5" w:rsidRPr="009E5E91" w:rsidRDefault="009E51D5" w:rsidP="009E51D5">
            <w:pPr>
              <w:pStyle w:val="ECCParagraph"/>
              <w:rPr>
                <w:rFonts w:cs="Arial"/>
              </w:rPr>
            </w:pPr>
            <w:r w:rsidRPr="009E5E91">
              <w:rPr>
                <w:rFonts w:cs="Arial"/>
              </w:rPr>
              <w:t>ACEA</w:t>
            </w:r>
          </w:p>
        </w:tc>
        <w:tc>
          <w:tcPr>
            <w:tcW w:w="4927" w:type="dxa"/>
            <w:vAlign w:val="center"/>
          </w:tcPr>
          <w:p w:rsidR="009E51D5" w:rsidRPr="009E5E91" w:rsidRDefault="009E51D5" w:rsidP="009E51D5">
            <w:pPr>
              <w:pStyle w:val="ECCParagraph"/>
              <w:rPr>
                <w:rFonts w:cs="Arial"/>
              </w:rPr>
            </w:pPr>
            <w:r w:rsidRPr="009E5E91">
              <w:rPr>
                <w:rFonts w:cs="Arial"/>
              </w:rPr>
              <w:t>JAY</w:t>
            </w:r>
          </w:p>
        </w:tc>
      </w:tr>
      <w:tr w:rsidR="009E51D5" w:rsidRPr="00D00317" w:rsidTr="009E51D5">
        <w:tc>
          <w:tcPr>
            <w:tcW w:w="4928" w:type="dxa"/>
            <w:vAlign w:val="center"/>
          </w:tcPr>
          <w:p w:rsidR="009E51D5" w:rsidRPr="009E5E91" w:rsidRDefault="009E51D5" w:rsidP="009E51D5">
            <w:pPr>
              <w:pStyle w:val="ECCParagraph"/>
              <w:rPr>
                <w:rFonts w:cs="Arial"/>
              </w:rPr>
            </w:pPr>
            <w:r w:rsidRPr="009E5E91">
              <w:rPr>
                <w:rFonts w:cs="Arial"/>
                <w:color w:val="000000"/>
                <w:szCs w:val="20"/>
                <w:lang w:eastAsia="da-DK"/>
              </w:rPr>
              <w:t>Adeunis RF</w:t>
            </w:r>
            <w:r w:rsidRPr="009E5E91">
              <w:rPr>
                <w:rFonts w:cs="Arial"/>
              </w:rPr>
              <w:t xml:space="preserve"> </w:t>
            </w:r>
          </w:p>
        </w:tc>
        <w:tc>
          <w:tcPr>
            <w:tcW w:w="4927" w:type="dxa"/>
            <w:vAlign w:val="center"/>
          </w:tcPr>
          <w:p w:rsidR="009E51D5" w:rsidRPr="009E5E91" w:rsidRDefault="009E51D5" w:rsidP="009E51D5">
            <w:pPr>
              <w:pStyle w:val="ECCParagraph"/>
              <w:rPr>
                <w:rFonts w:cs="Arial"/>
              </w:rPr>
            </w:pPr>
            <w:r w:rsidRPr="009E5E91">
              <w:rPr>
                <w:rFonts w:cs="Arial"/>
                <w:bCs/>
                <w:color w:val="000000"/>
                <w:szCs w:val="20"/>
                <w:lang w:eastAsia="da-DK"/>
              </w:rPr>
              <w:t>Kamstrup</w:t>
            </w:r>
          </w:p>
        </w:tc>
      </w:tr>
      <w:tr w:rsidR="009E51D5" w:rsidRPr="00D00317" w:rsidTr="009E51D5">
        <w:tc>
          <w:tcPr>
            <w:tcW w:w="4928" w:type="dxa"/>
            <w:vAlign w:val="center"/>
          </w:tcPr>
          <w:p w:rsidR="009E51D5" w:rsidRPr="009E5E91" w:rsidRDefault="009E51D5" w:rsidP="009E51D5">
            <w:pPr>
              <w:pStyle w:val="ECCParagraph"/>
              <w:rPr>
                <w:rFonts w:cs="Arial"/>
              </w:rPr>
            </w:pPr>
            <w:r w:rsidRPr="009E5E91">
              <w:rPr>
                <w:rFonts w:cs="Arial"/>
                <w:color w:val="000000"/>
                <w:szCs w:val="20"/>
                <w:lang w:eastAsia="da-DK"/>
              </w:rPr>
              <w:t>Administration of Iceland</w:t>
            </w:r>
          </w:p>
        </w:tc>
        <w:tc>
          <w:tcPr>
            <w:tcW w:w="4927" w:type="dxa"/>
            <w:vAlign w:val="center"/>
          </w:tcPr>
          <w:p w:rsidR="009E51D5" w:rsidRPr="009E5E91" w:rsidRDefault="009E51D5" w:rsidP="009E51D5">
            <w:pPr>
              <w:pStyle w:val="ECCParagraph"/>
              <w:rPr>
                <w:rFonts w:cs="Arial"/>
              </w:rPr>
            </w:pPr>
            <w:r w:rsidRPr="009E5E91">
              <w:rPr>
                <w:rFonts w:cs="Arial"/>
                <w:color w:val="000000"/>
                <w:szCs w:val="20"/>
                <w:lang w:eastAsia="da-DK"/>
              </w:rPr>
              <w:t>Legrand Euroalarm</w:t>
            </w:r>
          </w:p>
        </w:tc>
      </w:tr>
      <w:tr w:rsidR="009E51D5" w:rsidRPr="00D00317" w:rsidTr="009E51D5">
        <w:tc>
          <w:tcPr>
            <w:tcW w:w="4928" w:type="dxa"/>
            <w:vAlign w:val="center"/>
          </w:tcPr>
          <w:p w:rsidR="009E51D5" w:rsidRPr="009E5E91" w:rsidRDefault="009E51D5" w:rsidP="009E51D5">
            <w:pPr>
              <w:pStyle w:val="ECCParagraph"/>
              <w:rPr>
                <w:rFonts w:cs="Arial"/>
              </w:rPr>
            </w:pPr>
            <w:r w:rsidRPr="009E5E91">
              <w:rPr>
                <w:rFonts w:cs="Arial"/>
                <w:color w:val="000000"/>
                <w:szCs w:val="20"/>
                <w:lang w:eastAsia="da-DK"/>
              </w:rPr>
              <w:t>Administration of South Africa</w:t>
            </w:r>
          </w:p>
        </w:tc>
        <w:tc>
          <w:tcPr>
            <w:tcW w:w="4927" w:type="dxa"/>
            <w:vAlign w:val="center"/>
          </w:tcPr>
          <w:p w:rsidR="009E51D5" w:rsidRPr="009E5E91" w:rsidRDefault="009E51D5" w:rsidP="009E51D5">
            <w:pPr>
              <w:pStyle w:val="ECCParagraph"/>
              <w:rPr>
                <w:rFonts w:cs="Arial"/>
              </w:rPr>
            </w:pPr>
            <w:r w:rsidRPr="009E5E91">
              <w:rPr>
                <w:rFonts w:cs="Arial"/>
                <w:bCs/>
                <w:color w:val="000000"/>
                <w:szCs w:val="20"/>
                <w:lang w:eastAsia="da-DK"/>
              </w:rPr>
              <w:t>Lutron</w:t>
            </w:r>
          </w:p>
        </w:tc>
      </w:tr>
      <w:tr w:rsidR="009E51D5" w:rsidRPr="00D00317" w:rsidTr="009E51D5">
        <w:tc>
          <w:tcPr>
            <w:tcW w:w="4928" w:type="dxa"/>
            <w:vAlign w:val="center"/>
          </w:tcPr>
          <w:p w:rsidR="009E51D5" w:rsidRPr="009E5E91" w:rsidRDefault="009E51D5" w:rsidP="009E51D5">
            <w:pPr>
              <w:pStyle w:val="ECCParagraph"/>
              <w:rPr>
                <w:rFonts w:cs="Arial"/>
              </w:rPr>
            </w:pPr>
            <w:r w:rsidRPr="009E5E91">
              <w:rPr>
                <w:rFonts w:cs="Arial"/>
                <w:color w:val="000000"/>
                <w:szCs w:val="20"/>
                <w:lang w:eastAsia="da-DK"/>
              </w:rPr>
              <w:t>Administration of the Czech Republic</w:t>
            </w:r>
          </w:p>
        </w:tc>
        <w:tc>
          <w:tcPr>
            <w:tcW w:w="4927" w:type="dxa"/>
            <w:vAlign w:val="center"/>
          </w:tcPr>
          <w:p w:rsidR="009E51D5" w:rsidRPr="009E5E91" w:rsidRDefault="009E51D5" w:rsidP="009E51D5">
            <w:pPr>
              <w:pStyle w:val="ECCParagraph"/>
              <w:rPr>
                <w:rFonts w:cs="Arial"/>
              </w:rPr>
            </w:pPr>
            <w:r w:rsidRPr="009E5E91">
              <w:rPr>
                <w:rFonts w:cs="Arial"/>
                <w:color w:val="000000"/>
                <w:szCs w:val="20"/>
                <w:lang w:eastAsia="da-DK"/>
              </w:rPr>
              <w:t>MaxID</w:t>
            </w:r>
          </w:p>
        </w:tc>
      </w:tr>
      <w:tr w:rsidR="009E51D5" w:rsidRPr="00D00317" w:rsidTr="009E51D5">
        <w:tc>
          <w:tcPr>
            <w:tcW w:w="4928" w:type="dxa"/>
            <w:vAlign w:val="center"/>
          </w:tcPr>
          <w:p w:rsidR="009E51D5" w:rsidRPr="009E5E91" w:rsidRDefault="009E51D5" w:rsidP="009E51D5">
            <w:pPr>
              <w:pStyle w:val="ECCParagraph"/>
              <w:rPr>
                <w:rFonts w:cs="Arial"/>
              </w:rPr>
            </w:pPr>
            <w:r w:rsidRPr="009E5E91">
              <w:rPr>
                <w:rFonts w:cs="Arial"/>
                <w:bCs/>
                <w:color w:val="000000"/>
                <w:szCs w:val="20"/>
                <w:lang w:eastAsia="da-DK"/>
              </w:rPr>
              <w:t>Administration of the Slovak Republic</w:t>
            </w:r>
          </w:p>
        </w:tc>
        <w:tc>
          <w:tcPr>
            <w:tcW w:w="4927" w:type="dxa"/>
            <w:vAlign w:val="center"/>
          </w:tcPr>
          <w:p w:rsidR="009E51D5" w:rsidRPr="009E5E91" w:rsidRDefault="009E51D5" w:rsidP="009E51D5">
            <w:pPr>
              <w:pStyle w:val="ECCParagraph"/>
              <w:rPr>
                <w:rFonts w:cs="Arial"/>
              </w:rPr>
            </w:pPr>
            <w:r w:rsidRPr="009E5E91">
              <w:rPr>
                <w:rFonts w:cs="Arial"/>
                <w:color w:val="000000"/>
                <w:szCs w:val="20"/>
                <w:lang w:eastAsia="da-DK"/>
              </w:rPr>
              <w:t>Metrona Union</w:t>
            </w:r>
          </w:p>
        </w:tc>
      </w:tr>
      <w:tr w:rsidR="009E51D5" w:rsidRPr="00D00317" w:rsidTr="009E51D5">
        <w:tc>
          <w:tcPr>
            <w:tcW w:w="4928" w:type="dxa"/>
            <w:vAlign w:val="center"/>
          </w:tcPr>
          <w:p w:rsidR="009E51D5" w:rsidRPr="009E5E91" w:rsidRDefault="009E51D5" w:rsidP="009E51D5">
            <w:pPr>
              <w:pStyle w:val="ECCParagraph"/>
              <w:rPr>
                <w:rFonts w:cs="Arial"/>
              </w:rPr>
            </w:pPr>
            <w:r w:rsidRPr="009E5E91">
              <w:rPr>
                <w:rFonts w:cs="Arial"/>
              </w:rPr>
              <w:t>Administration of the Ukraine</w:t>
            </w:r>
          </w:p>
        </w:tc>
        <w:tc>
          <w:tcPr>
            <w:tcW w:w="4927" w:type="dxa"/>
            <w:vAlign w:val="center"/>
          </w:tcPr>
          <w:p w:rsidR="009E51D5" w:rsidRPr="009E5E91" w:rsidRDefault="009E51D5" w:rsidP="009E51D5">
            <w:pPr>
              <w:pStyle w:val="ECCParagraph"/>
              <w:rPr>
                <w:rFonts w:cs="Arial"/>
              </w:rPr>
            </w:pPr>
            <w:r w:rsidRPr="009E5E91">
              <w:rPr>
                <w:rFonts w:cs="Arial"/>
                <w:color w:val="000000"/>
                <w:szCs w:val="20"/>
                <w:lang w:eastAsia="da-DK"/>
              </w:rPr>
              <w:t>Michelin</w:t>
            </w:r>
          </w:p>
        </w:tc>
      </w:tr>
      <w:tr w:rsidR="009E51D5" w:rsidRPr="00D00317" w:rsidTr="009E51D5">
        <w:tc>
          <w:tcPr>
            <w:tcW w:w="4928" w:type="dxa"/>
            <w:vAlign w:val="center"/>
          </w:tcPr>
          <w:p w:rsidR="009E51D5" w:rsidRPr="009E5E91" w:rsidRDefault="009E51D5" w:rsidP="009E51D5">
            <w:pPr>
              <w:pStyle w:val="ECCParagraph"/>
              <w:rPr>
                <w:rFonts w:cs="Arial"/>
              </w:rPr>
            </w:pPr>
            <w:r w:rsidRPr="009E5E91">
              <w:rPr>
                <w:rFonts w:cs="Arial"/>
              </w:rPr>
              <w:t xml:space="preserve">Alliander </w:t>
            </w:r>
          </w:p>
        </w:tc>
        <w:tc>
          <w:tcPr>
            <w:tcW w:w="4927" w:type="dxa"/>
            <w:vAlign w:val="center"/>
          </w:tcPr>
          <w:p w:rsidR="009E51D5" w:rsidRPr="009E5E91" w:rsidRDefault="009E51D5" w:rsidP="009E51D5">
            <w:pPr>
              <w:pStyle w:val="ECCParagraph"/>
              <w:rPr>
                <w:rFonts w:cs="Arial"/>
              </w:rPr>
            </w:pPr>
            <w:r w:rsidRPr="009E5E91">
              <w:rPr>
                <w:rFonts w:cs="Arial"/>
                <w:bCs/>
                <w:color w:val="000000"/>
                <w:szCs w:val="20"/>
                <w:lang w:eastAsia="da-DK"/>
              </w:rPr>
              <w:t>Neopost ID</w:t>
            </w:r>
          </w:p>
        </w:tc>
      </w:tr>
      <w:tr w:rsidR="009E51D5" w:rsidRPr="00D00317" w:rsidTr="009E51D5">
        <w:tc>
          <w:tcPr>
            <w:tcW w:w="4928" w:type="dxa"/>
            <w:vAlign w:val="center"/>
          </w:tcPr>
          <w:p w:rsidR="009E51D5" w:rsidRPr="009E5E91" w:rsidRDefault="009E51D5" w:rsidP="009E51D5">
            <w:pPr>
              <w:pStyle w:val="ECCParagraph"/>
              <w:rPr>
                <w:rFonts w:cs="Arial"/>
              </w:rPr>
            </w:pPr>
            <w:r w:rsidRPr="009E5E91">
              <w:rPr>
                <w:rFonts w:cs="Arial"/>
              </w:rPr>
              <w:t>ASK</w:t>
            </w:r>
          </w:p>
        </w:tc>
        <w:tc>
          <w:tcPr>
            <w:tcW w:w="4927" w:type="dxa"/>
            <w:vAlign w:val="center"/>
          </w:tcPr>
          <w:p w:rsidR="009E51D5" w:rsidRPr="009E5E91" w:rsidRDefault="009E51D5" w:rsidP="009E51D5">
            <w:pPr>
              <w:pStyle w:val="ECCParagraph"/>
              <w:rPr>
                <w:rFonts w:cs="Arial"/>
              </w:rPr>
            </w:pPr>
            <w:r w:rsidRPr="009E5E91">
              <w:rPr>
                <w:rFonts w:cs="Arial"/>
                <w:color w:val="000000"/>
                <w:szCs w:val="20"/>
                <w:lang w:eastAsia="da-DK"/>
              </w:rPr>
              <w:t>NEWSTEO</w:t>
            </w:r>
          </w:p>
        </w:tc>
      </w:tr>
      <w:tr w:rsidR="009E51D5" w:rsidRPr="00D00317" w:rsidTr="009E51D5">
        <w:tc>
          <w:tcPr>
            <w:tcW w:w="4928" w:type="dxa"/>
            <w:vAlign w:val="center"/>
          </w:tcPr>
          <w:p w:rsidR="009E51D5" w:rsidRPr="009E5E91" w:rsidRDefault="009E51D5" w:rsidP="009E51D5">
            <w:pPr>
              <w:pStyle w:val="ECCParagraph"/>
              <w:rPr>
                <w:rFonts w:cs="Arial"/>
              </w:rPr>
            </w:pPr>
            <w:r w:rsidRPr="009E5E91">
              <w:rPr>
                <w:rFonts w:cs="Arial"/>
                <w:bCs/>
                <w:color w:val="000000"/>
                <w:szCs w:val="20"/>
                <w:lang w:eastAsia="da-DK"/>
              </w:rPr>
              <w:t>Atral Secal</w:t>
            </w:r>
          </w:p>
        </w:tc>
        <w:tc>
          <w:tcPr>
            <w:tcW w:w="4927" w:type="dxa"/>
            <w:vAlign w:val="center"/>
          </w:tcPr>
          <w:p w:rsidR="009E51D5" w:rsidRPr="009E5E91" w:rsidRDefault="009E51D5" w:rsidP="009E51D5">
            <w:pPr>
              <w:pStyle w:val="ECCParagraph"/>
              <w:rPr>
                <w:rFonts w:cs="Arial"/>
              </w:rPr>
            </w:pPr>
            <w:r w:rsidRPr="009E5E91">
              <w:rPr>
                <w:rFonts w:cs="Arial"/>
                <w:color w:val="000000"/>
                <w:szCs w:val="20"/>
                <w:lang w:eastAsia="da-DK"/>
              </w:rPr>
              <w:t>Novar</w:t>
            </w:r>
          </w:p>
        </w:tc>
      </w:tr>
      <w:tr w:rsidR="009E51D5" w:rsidRPr="00D00317" w:rsidTr="009E51D5">
        <w:tc>
          <w:tcPr>
            <w:tcW w:w="4928" w:type="dxa"/>
            <w:vAlign w:val="center"/>
          </w:tcPr>
          <w:p w:rsidR="009E51D5" w:rsidRPr="009E5E91" w:rsidRDefault="009E51D5" w:rsidP="009E51D5">
            <w:pPr>
              <w:pStyle w:val="ECCParagraph"/>
              <w:rPr>
                <w:rFonts w:cs="Arial"/>
              </w:rPr>
            </w:pPr>
            <w:r w:rsidRPr="009E5E91">
              <w:rPr>
                <w:rFonts w:cs="Arial"/>
                <w:color w:val="000000"/>
                <w:szCs w:val="20"/>
                <w:lang w:eastAsia="da-DK"/>
              </w:rPr>
              <w:t>Atus</w:t>
            </w:r>
          </w:p>
        </w:tc>
        <w:tc>
          <w:tcPr>
            <w:tcW w:w="4927" w:type="dxa"/>
            <w:vAlign w:val="center"/>
          </w:tcPr>
          <w:p w:rsidR="009E51D5" w:rsidRPr="009E5E91" w:rsidRDefault="009E51D5" w:rsidP="009E51D5">
            <w:pPr>
              <w:pStyle w:val="ECCParagraph"/>
              <w:rPr>
                <w:rFonts w:cs="Arial"/>
              </w:rPr>
            </w:pPr>
            <w:r w:rsidRPr="009E5E91">
              <w:rPr>
                <w:rFonts w:cs="Arial"/>
                <w:color w:val="000000"/>
                <w:szCs w:val="20"/>
                <w:lang w:eastAsia="da-DK"/>
              </w:rPr>
              <w:t>Novar Honeywell SRD</w:t>
            </w:r>
          </w:p>
        </w:tc>
      </w:tr>
      <w:tr w:rsidR="009E51D5" w:rsidRPr="00D00317" w:rsidTr="009E51D5">
        <w:tc>
          <w:tcPr>
            <w:tcW w:w="4928" w:type="dxa"/>
            <w:vAlign w:val="center"/>
          </w:tcPr>
          <w:p w:rsidR="009E51D5" w:rsidRPr="009E5E91" w:rsidRDefault="009E51D5" w:rsidP="009E51D5">
            <w:pPr>
              <w:pStyle w:val="ECCParagraph"/>
              <w:rPr>
                <w:rFonts w:cs="Arial"/>
              </w:rPr>
            </w:pPr>
            <w:r w:rsidRPr="009E5E91">
              <w:rPr>
                <w:rFonts w:cs="Arial"/>
                <w:color w:val="000000"/>
                <w:szCs w:val="20"/>
                <w:lang w:val="da-DK" w:eastAsia="da-DK"/>
              </w:rPr>
              <w:t>Bayerdynamic</w:t>
            </w:r>
          </w:p>
        </w:tc>
        <w:tc>
          <w:tcPr>
            <w:tcW w:w="4927" w:type="dxa"/>
            <w:vAlign w:val="center"/>
          </w:tcPr>
          <w:p w:rsidR="009E51D5" w:rsidRPr="009E5E91" w:rsidRDefault="009E51D5" w:rsidP="009E51D5">
            <w:pPr>
              <w:pStyle w:val="ECCParagraph"/>
              <w:rPr>
                <w:rFonts w:cs="Arial"/>
              </w:rPr>
            </w:pPr>
            <w:r w:rsidRPr="009E5E91">
              <w:rPr>
                <w:rFonts w:cs="Arial"/>
                <w:color w:val="000000"/>
                <w:szCs w:val="20"/>
                <w:lang w:eastAsia="da-DK"/>
              </w:rPr>
              <w:t>NXP</w:t>
            </w:r>
          </w:p>
        </w:tc>
      </w:tr>
      <w:tr w:rsidR="009E51D5" w:rsidRPr="00D00317" w:rsidTr="009E51D5">
        <w:tc>
          <w:tcPr>
            <w:tcW w:w="4928" w:type="dxa"/>
            <w:vAlign w:val="center"/>
          </w:tcPr>
          <w:p w:rsidR="009E51D5" w:rsidRPr="009E5E91" w:rsidRDefault="009E51D5" w:rsidP="009E51D5">
            <w:pPr>
              <w:pStyle w:val="ECCParagraph"/>
              <w:rPr>
                <w:rFonts w:cs="Arial"/>
              </w:rPr>
            </w:pPr>
            <w:r w:rsidRPr="009E5E91">
              <w:rPr>
                <w:rFonts w:cs="Arial"/>
                <w:color w:val="000000"/>
                <w:szCs w:val="20"/>
                <w:lang w:val="da-DK" w:eastAsia="da-DK"/>
              </w:rPr>
              <w:t>BOSCH Automotive</w:t>
            </w:r>
          </w:p>
        </w:tc>
        <w:tc>
          <w:tcPr>
            <w:tcW w:w="4927" w:type="dxa"/>
            <w:vAlign w:val="center"/>
          </w:tcPr>
          <w:p w:rsidR="009E51D5" w:rsidRPr="009E5E91" w:rsidRDefault="009E51D5" w:rsidP="009E51D5">
            <w:pPr>
              <w:pStyle w:val="ECCParagraph"/>
              <w:rPr>
                <w:rFonts w:cs="Arial"/>
              </w:rPr>
            </w:pPr>
            <w:r w:rsidRPr="009E5E91">
              <w:rPr>
                <w:rFonts w:cs="Arial"/>
                <w:bCs/>
                <w:color w:val="000000"/>
                <w:szCs w:val="20"/>
                <w:lang w:eastAsia="da-DK"/>
              </w:rPr>
              <w:t>RSI</w:t>
            </w:r>
          </w:p>
        </w:tc>
      </w:tr>
      <w:tr w:rsidR="009E51D5" w:rsidRPr="00D00317" w:rsidTr="009E51D5">
        <w:tc>
          <w:tcPr>
            <w:tcW w:w="4928" w:type="dxa"/>
            <w:vAlign w:val="center"/>
          </w:tcPr>
          <w:p w:rsidR="009E51D5" w:rsidRPr="009E5E91" w:rsidRDefault="009E51D5" w:rsidP="009E51D5">
            <w:pPr>
              <w:pStyle w:val="ECCParagraph"/>
              <w:rPr>
                <w:rFonts w:cs="Arial"/>
              </w:rPr>
            </w:pPr>
            <w:r w:rsidRPr="009E5E91">
              <w:rPr>
                <w:rFonts w:cs="Arial"/>
                <w:color w:val="000000"/>
                <w:szCs w:val="20"/>
                <w:lang w:eastAsia="da-DK"/>
              </w:rPr>
              <w:t>BOSCH Social Alarms &amp; Call systems</w:t>
            </w:r>
          </w:p>
        </w:tc>
        <w:tc>
          <w:tcPr>
            <w:tcW w:w="4927" w:type="dxa"/>
            <w:vAlign w:val="center"/>
          </w:tcPr>
          <w:p w:rsidR="009E51D5" w:rsidRPr="009E5E91" w:rsidRDefault="009E51D5" w:rsidP="009E51D5">
            <w:pPr>
              <w:pStyle w:val="ECCParagraph"/>
              <w:rPr>
                <w:rFonts w:cs="Arial"/>
              </w:rPr>
            </w:pPr>
            <w:r w:rsidRPr="009E5E91">
              <w:rPr>
                <w:rFonts w:cs="Arial"/>
                <w:color w:val="000000"/>
                <w:szCs w:val="20"/>
                <w:lang w:eastAsia="da-DK"/>
              </w:rPr>
              <w:t>RWO</w:t>
            </w:r>
          </w:p>
        </w:tc>
      </w:tr>
      <w:tr w:rsidR="009E51D5" w:rsidRPr="00D00317" w:rsidTr="009E51D5">
        <w:tc>
          <w:tcPr>
            <w:tcW w:w="4928" w:type="dxa"/>
            <w:vAlign w:val="center"/>
          </w:tcPr>
          <w:p w:rsidR="009E51D5" w:rsidRPr="009E5E91" w:rsidRDefault="009E51D5" w:rsidP="009E51D5">
            <w:pPr>
              <w:pStyle w:val="ECCParagraph"/>
              <w:rPr>
                <w:rFonts w:cs="Arial"/>
              </w:rPr>
            </w:pPr>
            <w:r w:rsidRPr="009E5E91">
              <w:rPr>
                <w:rFonts w:cs="Arial"/>
                <w:color w:val="000000"/>
                <w:szCs w:val="20"/>
                <w:lang w:eastAsia="da-DK"/>
              </w:rPr>
              <w:t>BOSCH Wireless Intrusion and Alarms</w:t>
            </w:r>
          </w:p>
        </w:tc>
        <w:tc>
          <w:tcPr>
            <w:tcW w:w="4927" w:type="dxa"/>
            <w:vAlign w:val="center"/>
          </w:tcPr>
          <w:p w:rsidR="009E51D5" w:rsidRPr="009E5E91" w:rsidRDefault="009E51D5" w:rsidP="009E51D5">
            <w:pPr>
              <w:pStyle w:val="ECCParagraph"/>
              <w:rPr>
                <w:rFonts w:cs="Arial"/>
              </w:rPr>
            </w:pPr>
            <w:r w:rsidRPr="009E5E91">
              <w:rPr>
                <w:rFonts w:cs="Arial"/>
                <w:bCs/>
                <w:color w:val="000000"/>
                <w:szCs w:val="20"/>
                <w:lang w:eastAsia="da-DK"/>
              </w:rPr>
              <w:t>SAPPEL</w:t>
            </w:r>
          </w:p>
        </w:tc>
      </w:tr>
      <w:tr w:rsidR="009E51D5" w:rsidRPr="00D00317" w:rsidTr="009E51D5">
        <w:tc>
          <w:tcPr>
            <w:tcW w:w="4928" w:type="dxa"/>
            <w:vAlign w:val="center"/>
          </w:tcPr>
          <w:p w:rsidR="009E51D5" w:rsidRPr="009E5E91" w:rsidRDefault="009E51D5" w:rsidP="009E51D5">
            <w:pPr>
              <w:pStyle w:val="ECCParagraph"/>
              <w:rPr>
                <w:rFonts w:cs="Arial"/>
              </w:rPr>
            </w:pPr>
            <w:r w:rsidRPr="009E5E91">
              <w:rPr>
                <w:rFonts w:cs="Arial"/>
                <w:color w:val="000000"/>
                <w:szCs w:val="20"/>
                <w:lang w:val="da-DK" w:eastAsia="da-DK"/>
              </w:rPr>
              <w:t>British Security Industry Association</w:t>
            </w:r>
          </w:p>
        </w:tc>
        <w:tc>
          <w:tcPr>
            <w:tcW w:w="4927" w:type="dxa"/>
            <w:vAlign w:val="center"/>
          </w:tcPr>
          <w:p w:rsidR="009E51D5" w:rsidRPr="009E5E91" w:rsidRDefault="009E51D5" w:rsidP="009E51D5">
            <w:pPr>
              <w:pStyle w:val="ECCParagraph"/>
              <w:rPr>
                <w:rFonts w:cs="Arial"/>
              </w:rPr>
            </w:pPr>
            <w:r w:rsidRPr="009E5E91">
              <w:rPr>
                <w:rFonts w:cs="Arial"/>
                <w:bCs/>
                <w:color w:val="000000"/>
                <w:szCs w:val="20"/>
                <w:lang w:eastAsia="da-DK"/>
              </w:rPr>
              <w:t>Schneider Electric</w:t>
            </w:r>
          </w:p>
        </w:tc>
      </w:tr>
      <w:tr w:rsidR="009E51D5" w:rsidRPr="00D00317" w:rsidTr="009E51D5">
        <w:tc>
          <w:tcPr>
            <w:tcW w:w="4928" w:type="dxa"/>
            <w:vAlign w:val="center"/>
          </w:tcPr>
          <w:p w:rsidR="009E51D5" w:rsidRPr="009E5E91" w:rsidRDefault="009E51D5" w:rsidP="009E51D5">
            <w:pPr>
              <w:pStyle w:val="ECCParagraph"/>
              <w:rPr>
                <w:rFonts w:cs="Arial"/>
              </w:rPr>
            </w:pPr>
            <w:r w:rsidRPr="009E5E91">
              <w:rPr>
                <w:rFonts w:cs="Arial"/>
                <w:color w:val="000000"/>
                <w:szCs w:val="20"/>
                <w:lang w:val="da-DK" w:eastAsia="da-DK"/>
              </w:rPr>
              <w:t>BT Siemens</w:t>
            </w:r>
          </w:p>
        </w:tc>
        <w:tc>
          <w:tcPr>
            <w:tcW w:w="4927" w:type="dxa"/>
            <w:vAlign w:val="center"/>
          </w:tcPr>
          <w:p w:rsidR="009E51D5" w:rsidRPr="009E5E91" w:rsidRDefault="009E51D5" w:rsidP="009E51D5">
            <w:pPr>
              <w:pStyle w:val="ECCParagraph"/>
              <w:rPr>
                <w:rFonts w:cs="Arial"/>
              </w:rPr>
            </w:pPr>
            <w:r w:rsidRPr="009E5E91">
              <w:rPr>
                <w:rFonts w:cs="Arial"/>
                <w:bCs/>
                <w:color w:val="000000"/>
                <w:szCs w:val="20"/>
                <w:lang w:eastAsia="da-DK"/>
              </w:rPr>
              <w:t>Schneider Electric Lifespace</w:t>
            </w:r>
          </w:p>
        </w:tc>
      </w:tr>
      <w:tr w:rsidR="009E51D5" w:rsidRPr="00D00317" w:rsidTr="009E51D5">
        <w:tc>
          <w:tcPr>
            <w:tcW w:w="4928" w:type="dxa"/>
            <w:vAlign w:val="center"/>
          </w:tcPr>
          <w:p w:rsidR="009E51D5" w:rsidRPr="009E5E91" w:rsidRDefault="009E51D5" w:rsidP="009E51D5">
            <w:pPr>
              <w:pStyle w:val="ECCParagraph"/>
              <w:rPr>
                <w:rFonts w:cs="Arial"/>
              </w:rPr>
            </w:pPr>
            <w:r w:rsidRPr="009E5E91">
              <w:rPr>
                <w:rFonts w:cs="Arial"/>
                <w:color w:val="000000"/>
                <w:szCs w:val="20"/>
                <w:lang w:val="da-DK" w:eastAsia="da-DK"/>
              </w:rPr>
              <w:t>Busch Jaeger</w:t>
            </w:r>
          </w:p>
        </w:tc>
        <w:tc>
          <w:tcPr>
            <w:tcW w:w="4927" w:type="dxa"/>
            <w:vAlign w:val="center"/>
          </w:tcPr>
          <w:p w:rsidR="009E51D5" w:rsidRPr="009E5E91" w:rsidRDefault="009E51D5" w:rsidP="009E51D5">
            <w:pPr>
              <w:pStyle w:val="ECCParagraph"/>
              <w:rPr>
                <w:rFonts w:cs="Arial"/>
              </w:rPr>
            </w:pPr>
            <w:r w:rsidRPr="009E5E91">
              <w:rPr>
                <w:rFonts w:cs="Arial"/>
                <w:bCs/>
                <w:color w:val="000000"/>
                <w:szCs w:val="20"/>
                <w:lang w:eastAsia="da-DK"/>
              </w:rPr>
              <w:t>Securitas Direct</w:t>
            </w:r>
          </w:p>
        </w:tc>
      </w:tr>
      <w:tr w:rsidR="009E51D5" w:rsidRPr="00D00317" w:rsidTr="009E51D5">
        <w:tc>
          <w:tcPr>
            <w:tcW w:w="4928" w:type="dxa"/>
            <w:vAlign w:val="center"/>
          </w:tcPr>
          <w:p w:rsidR="009E51D5" w:rsidRPr="009E5E91" w:rsidRDefault="009E51D5" w:rsidP="009E51D5">
            <w:pPr>
              <w:pStyle w:val="ECCParagraph"/>
              <w:rPr>
                <w:rFonts w:cs="Arial"/>
              </w:rPr>
            </w:pPr>
            <w:r w:rsidRPr="009E5E91">
              <w:rPr>
                <w:rFonts w:cs="Arial"/>
                <w:bCs/>
                <w:color w:val="000000"/>
                <w:szCs w:val="20"/>
              </w:rPr>
              <w:t>Continental</w:t>
            </w:r>
          </w:p>
        </w:tc>
        <w:tc>
          <w:tcPr>
            <w:tcW w:w="4927" w:type="dxa"/>
            <w:vAlign w:val="center"/>
          </w:tcPr>
          <w:p w:rsidR="009E51D5" w:rsidRPr="009E5E91" w:rsidRDefault="009E51D5" w:rsidP="009E51D5">
            <w:pPr>
              <w:pStyle w:val="ECCParagraph"/>
              <w:rPr>
                <w:rFonts w:cs="Arial"/>
              </w:rPr>
            </w:pPr>
            <w:r w:rsidRPr="009E5E91">
              <w:rPr>
                <w:rFonts w:cs="Arial"/>
                <w:color w:val="000000"/>
                <w:szCs w:val="20"/>
                <w:lang w:eastAsia="da-DK"/>
              </w:rPr>
              <w:t>Securiton</w:t>
            </w:r>
          </w:p>
        </w:tc>
      </w:tr>
      <w:tr w:rsidR="009E51D5" w:rsidRPr="00D00317" w:rsidTr="009E51D5">
        <w:tc>
          <w:tcPr>
            <w:tcW w:w="4928" w:type="dxa"/>
            <w:vAlign w:val="center"/>
          </w:tcPr>
          <w:p w:rsidR="009E51D5" w:rsidRPr="009E5E91" w:rsidRDefault="009E51D5" w:rsidP="009E51D5">
            <w:pPr>
              <w:pStyle w:val="ECCParagraph"/>
              <w:rPr>
                <w:rFonts w:cs="Arial"/>
              </w:rPr>
            </w:pPr>
            <w:r w:rsidRPr="009E5E91">
              <w:rPr>
                <w:rFonts w:cs="Arial"/>
                <w:color w:val="000000"/>
                <w:szCs w:val="20"/>
              </w:rPr>
              <w:t>Cooper Security</w:t>
            </w:r>
          </w:p>
        </w:tc>
        <w:tc>
          <w:tcPr>
            <w:tcW w:w="4927" w:type="dxa"/>
            <w:vAlign w:val="center"/>
          </w:tcPr>
          <w:p w:rsidR="009E51D5" w:rsidRPr="009E5E91" w:rsidRDefault="009E51D5" w:rsidP="009E51D5">
            <w:pPr>
              <w:pStyle w:val="ECCParagraph"/>
              <w:rPr>
                <w:rFonts w:cs="Arial"/>
              </w:rPr>
            </w:pPr>
            <w:r w:rsidRPr="009E5E91">
              <w:rPr>
                <w:rFonts w:cs="Arial"/>
                <w:bCs/>
                <w:color w:val="000000"/>
                <w:szCs w:val="20"/>
                <w:lang w:eastAsia="da-DK"/>
              </w:rPr>
              <w:t>Sensormatic</w:t>
            </w:r>
          </w:p>
        </w:tc>
      </w:tr>
      <w:tr w:rsidR="009E51D5" w:rsidRPr="00D00317" w:rsidTr="009E51D5">
        <w:tc>
          <w:tcPr>
            <w:tcW w:w="4928" w:type="dxa"/>
            <w:vAlign w:val="center"/>
          </w:tcPr>
          <w:p w:rsidR="009E51D5" w:rsidRPr="00ED7BE1" w:rsidRDefault="009E51D5" w:rsidP="009E51D5">
            <w:pPr>
              <w:pStyle w:val="ECCParagraph"/>
            </w:pPr>
            <w:r w:rsidRPr="00ED7BE1">
              <w:lastRenderedPageBreak/>
              <w:t>Coopper Safety</w:t>
            </w:r>
          </w:p>
        </w:tc>
        <w:tc>
          <w:tcPr>
            <w:tcW w:w="4927" w:type="dxa"/>
            <w:vAlign w:val="center"/>
          </w:tcPr>
          <w:p w:rsidR="009E51D5" w:rsidRPr="00D00317" w:rsidRDefault="009E51D5" w:rsidP="009E51D5">
            <w:pPr>
              <w:pStyle w:val="ECCParagraph"/>
            </w:pPr>
            <w:r w:rsidRPr="00BD6508">
              <w:rPr>
                <w:rFonts w:ascii="Times New Roman" w:hAnsi="Times New Roman"/>
                <w:bCs/>
                <w:color w:val="000000"/>
                <w:szCs w:val="20"/>
                <w:lang w:eastAsia="da-DK"/>
              </w:rPr>
              <w:t>Sensus</w:t>
            </w:r>
          </w:p>
        </w:tc>
      </w:tr>
      <w:tr w:rsidR="009E51D5" w:rsidRPr="00D00317" w:rsidTr="009E51D5">
        <w:tc>
          <w:tcPr>
            <w:tcW w:w="4928" w:type="dxa"/>
            <w:vAlign w:val="center"/>
          </w:tcPr>
          <w:p w:rsidR="009E51D5" w:rsidRPr="00ED7BE1" w:rsidRDefault="009E51D5" w:rsidP="009E51D5">
            <w:pPr>
              <w:pStyle w:val="ECCParagraph"/>
            </w:pPr>
            <w:r>
              <w:rPr>
                <w:color w:val="000000"/>
                <w:szCs w:val="20"/>
              </w:rPr>
              <w:t>Digital Europe</w:t>
            </w:r>
          </w:p>
        </w:tc>
        <w:tc>
          <w:tcPr>
            <w:tcW w:w="4927" w:type="dxa"/>
            <w:vAlign w:val="center"/>
          </w:tcPr>
          <w:p w:rsidR="009E51D5" w:rsidRPr="00D00317" w:rsidRDefault="009E51D5" w:rsidP="009E51D5">
            <w:pPr>
              <w:pStyle w:val="ECCParagraph"/>
            </w:pPr>
            <w:r w:rsidRPr="00BD6508">
              <w:rPr>
                <w:rFonts w:ascii="Times New Roman" w:hAnsi="Times New Roman"/>
                <w:color w:val="000000"/>
                <w:szCs w:val="20"/>
                <w:lang w:eastAsia="da-DK"/>
              </w:rPr>
              <w:t>SES Switzerland</w:t>
            </w:r>
          </w:p>
        </w:tc>
      </w:tr>
      <w:tr w:rsidR="009E51D5" w:rsidRPr="00D00317" w:rsidTr="009E51D5">
        <w:tc>
          <w:tcPr>
            <w:tcW w:w="4928" w:type="dxa"/>
            <w:vAlign w:val="center"/>
          </w:tcPr>
          <w:p w:rsidR="009E51D5" w:rsidRPr="00ED7BE1" w:rsidRDefault="009E51D5" w:rsidP="009E51D5">
            <w:pPr>
              <w:pStyle w:val="ECCParagraph"/>
            </w:pPr>
            <w:r>
              <w:t>Elster (Coronis)</w:t>
            </w:r>
          </w:p>
        </w:tc>
        <w:tc>
          <w:tcPr>
            <w:tcW w:w="4927" w:type="dxa"/>
            <w:vAlign w:val="center"/>
          </w:tcPr>
          <w:p w:rsidR="009E51D5" w:rsidRPr="00D00317" w:rsidRDefault="009E51D5" w:rsidP="009E51D5">
            <w:pPr>
              <w:pStyle w:val="ECCParagraph"/>
            </w:pPr>
            <w:r w:rsidRPr="00BD6508">
              <w:rPr>
                <w:rFonts w:ascii="Times New Roman" w:hAnsi="Times New Roman"/>
                <w:lang w:eastAsia="da-DK"/>
              </w:rPr>
              <w:t>Siemens Austria</w:t>
            </w:r>
          </w:p>
        </w:tc>
      </w:tr>
      <w:tr w:rsidR="009E51D5" w:rsidRPr="00D00317" w:rsidTr="009E51D5">
        <w:tc>
          <w:tcPr>
            <w:tcW w:w="4928" w:type="dxa"/>
            <w:vAlign w:val="center"/>
          </w:tcPr>
          <w:p w:rsidR="009E51D5" w:rsidRPr="00ED7BE1" w:rsidRDefault="009E51D5" w:rsidP="009E51D5">
            <w:pPr>
              <w:pStyle w:val="ECCParagraph"/>
            </w:pPr>
            <w:r>
              <w:t>EMH Metering</w:t>
            </w:r>
          </w:p>
        </w:tc>
        <w:tc>
          <w:tcPr>
            <w:tcW w:w="4927" w:type="dxa"/>
            <w:vAlign w:val="center"/>
          </w:tcPr>
          <w:p w:rsidR="009E51D5" w:rsidRPr="00D00317" w:rsidRDefault="009E51D5" w:rsidP="009E51D5">
            <w:pPr>
              <w:pStyle w:val="ECCParagraph"/>
            </w:pPr>
            <w:r w:rsidRPr="00BD6508">
              <w:rPr>
                <w:rFonts w:ascii="Times New Roman" w:hAnsi="Times New Roman"/>
                <w:lang w:eastAsia="da-DK"/>
              </w:rPr>
              <w:t>Smart Dutch</w:t>
            </w:r>
          </w:p>
        </w:tc>
      </w:tr>
      <w:tr w:rsidR="009E51D5" w:rsidRPr="00D00317" w:rsidTr="009E51D5">
        <w:tc>
          <w:tcPr>
            <w:tcW w:w="4928" w:type="dxa"/>
            <w:vAlign w:val="center"/>
          </w:tcPr>
          <w:p w:rsidR="009E51D5" w:rsidRPr="00ED7BE1" w:rsidRDefault="009E51D5" w:rsidP="009E51D5">
            <w:pPr>
              <w:pStyle w:val="ECCParagraph"/>
            </w:pPr>
            <w:r>
              <w:t>EMS</w:t>
            </w:r>
          </w:p>
        </w:tc>
        <w:tc>
          <w:tcPr>
            <w:tcW w:w="4927" w:type="dxa"/>
            <w:vAlign w:val="center"/>
          </w:tcPr>
          <w:p w:rsidR="009E51D5" w:rsidRPr="00D00317" w:rsidRDefault="009E51D5" w:rsidP="009E51D5">
            <w:pPr>
              <w:pStyle w:val="ECCParagraph"/>
            </w:pPr>
            <w:r w:rsidRPr="00BD6508">
              <w:rPr>
                <w:rFonts w:ascii="Times New Roman" w:hAnsi="Times New Roman"/>
                <w:lang w:eastAsia="da-DK"/>
              </w:rPr>
              <w:t>Smart Signs Solutions</w:t>
            </w:r>
          </w:p>
        </w:tc>
      </w:tr>
      <w:tr w:rsidR="009E51D5" w:rsidRPr="00D00317" w:rsidTr="009E51D5">
        <w:tc>
          <w:tcPr>
            <w:tcW w:w="4928" w:type="dxa"/>
            <w:vAlign w:val="center"/>
          </w:tcPr>
          <w:p w:rsidR="009E51D5" w:rsidRPr="00ED7BE1" w:rsidRDefault="009E51D5" w:rsidP="009E51D5">
            <w:pPr>
              <w:pStyle w:val="ECCParagraph"/>
            </w:pPr>
            <w:r>
              <w:t>Enexis</w:t>
            </w:r>
          </w:p>
        </w:tc>
        <w:tc>
          <w:tcPr>
            <w:tcW w:w="4927" w:type="dxa"/>
            <w:vAlign w:val="center"/>
          </w:tcPr>
          <w:p w:rsidR="009E51D5" w:rsidRPr="00D00317" w:rsidRDefault="009E51D5" w:rsidP="009E51D5">
            <w:pPr>
              <w:pStyle w:val="ECCParagraph"/>
            </w:pPr>
            <w:r w:rsidRPr="00BD6508">
              <w:rPr>
                <w:rFonts w:ascii="Times New Roman" w:hAnsi="Times New Roman"/>
                <w:lang w:eastAsia="da-DK"/>
              </w:rPr>
              <w:t>SOMFY</w:t>
            </w:r>
          </w:p>
        </w:tc>
      </w:tr>
      <w:tr w:rsidR="009E51D5" w:rsidRPr="00D00317" w:rsidTr="009E51D5">
        <w:tc>
          <w:tcPr>
            <w:tcW w:w="4928" w:type="dxa"/>
            <w:vAlign w:val="center"/>
          </w:tcPr>
          <w:p w:rsidR="009E51D5" w:rsidRPr="00ED7BE1" w:rsidRDefault="009E51D5" w:rsidP="009E51D5">
            <w:pPr>
              <w:pStyle w:val="ECCParagraph"/>
            </w:pPr>
            <w:r>
              <w:t>Euroalarm</w:t>
            </w:r>
          </w:p>
        </w:tc>
        <w:tc>
          <w:tcPr>
            <w:tcW w:w="4927" w:type="dxa"/>
            <w:vAlign w:val="center"/>
          </w:tcPr>
          <w:p w:rsidR="009E51D5" w:rsidRPr="00D00317" w:rsidRDefault="009E51D5" w:rsidP="009E51D5">
            <w:pPr>
              <w:pStyle w:val="ECCParagraph"/>
            </w:pPr>
            <w:r w:rsidRPr="00BD6508">
              <w:rPr>
                <w:rFonts w:ascii="Times New Roman" w:hAnsi="Times New Roman"/>
                <w:lang w:eastAsia="da-DK"/>
              </w:rPr>
              <w:t>SONY</w:t>
            </w:r>
          </w:p>
        </w:tc>
      </w:tr>
      <w:tr w:rsidR="009E51D5" w:rsidRPr="00D00317" w:rsidTr="009E51D5">
        <w:tc>
          <w:tcPr>
            <w:tcW w:w="4928" w:type="dxa"/>
            <w:vAlign w:val="center"/>
          </w:tcPr>
          <w:p w:rsidR="009E51D5" w:rsidRPr="00ED7BE1" w:rsidRDefault="009E51D5" w:rsidP="009E51D5">
            <w:pPr>
              <w:pStyle w:val="ECCParagraph"/>
            </w:pPr>
            <w:r>
              <w:t>France Telecom / Orange</w:t>
            </w:r>
          </w:p>
        </w:tc>
        <w:tc>
          <w:tcPr>
            <w:tcW w:w="4927" w:type="dxa"/>
            <w:vAlign w:val="center"/>
          </w:tcPr>
          <w:p w:rsidR="009E51D5" w:rsidRPr="00D00317" w:rsidRDefault="009E51D5" w:rsidP="009E51D5">
            <w:pPr>
              <w:pStyle w:val="ECCParagraph"/>
            </w:pPr>
            <w:r w:rsidRPr="00BD6508">
              <w:rPr>
                <w:rFonts w:ascii="Times New Roman" w:hAnsi="Times New Roman"/>
                <w:lang w:eastAsia="da-DK"/>
              </w:rPr>
              <w:t>Swiss Gas Metering</w:t>
            </w:r>
          </w:p>
        </w:tc>
      </w:tr>
      <w:tr w:rsidR="009E51D5" w:rsidRPr="00D00317" w:rsidTr="009E51D5">
        <w:tc>
          <w:tcPr>
            <w:tcW w:w="4928" w:type="dxa"/>
            <w:vAlign w:val="center"/>
          </w:tcPr>
          <w:p w:rsidR="009E51D5" w:rsidRPr="00ED7BE1" w:rsidRDefault="009E51D5" w:rsidP="009E51D5">
            <w:pPr>
              <w:pStyle w:val="ECCParagraph"/>
            </w:pPr>
            <w:r>
              <w:t>Gerda Security</w:t>
            </w:r>
          </w:p>
        </w:tc>
        <w:tc>
          <w:tcPr>
            <w:tcW w:w="4927" w:type="dxa"/>
            <w:vAlign w:val="center"/>
          </w:tcPr>
          <w:p w:rsidR="009E51D5" w:rsidRPr="00D00317" w:rsidRDefault="009E51D5" w:rsidP="009E51D5">
            <w:pPr>
              <w:pStyle w:val="ECCParagraph"/>
            </w:pPr>
            <w:r w:rsidRPr="00BD6508">
              <w:rPr>
                <w:rFonts w:ascii="Times New Roman" w:hAnsi="Times New Roman"/>
                <w:lang w:eastAsia="da-DK"/>
              </w:rPr>
              <w:t>Systerel</w:t>
            </w:r>
          </w:p>
        </w:tc>
      </w:tr>
      <w:tr w:rsidR="009E51D5" w:rsidRPr="00D00317" w:rsidTr="009E51D5">
        <w:tc>
          <w:tcPr>
            <w:tcW w:w="4928" w:type="dxa"/>
            <w:vAlign w:val="center"/>
          </w:tcPr>
          <w:p w:rsidR="009E51D5" w:rsidRPr="00ED7BE1" w:rsidRDefault="009E51D5" w:rsidP="009E51D5">
            <w:pPr>
              <w:pStyle w:val="ECCParagraph"/>
            </w:pPr>
            <w:r w:rsidRPr="00DF1E47">
              <w:rPr>
                <w:rFonts w:ascii="Times New Roman" w:hAnsi="Times New Roman"/>
                <w:lang w:val="da-DK" w:eastAsia="da-DK"/>
              </w:rPr>
              <w:t>Hager</w:t>
            </w:r>
          </w:p>
        </w:tc>
        <w:tc>
          <w:tcPr>
            <w:tcW w:w="4927" w:type="dxa"/>
            <w:vAlign w:val="center"/>
          </w:tcPr>
          <w:p w:rsidR="009E51D5" w:rsidRPr="00D00317" w:rsidRDefault="009E51D5" w:rsidP="009E51D5">
            <w:pPr>
              <w:pStyle w:val="ECCParagraph"/>
            </w:pPr>
            <w:r w:rsidRPr="00BD6508">
              <w:rPr>
                <w:rFonts w:ascii="Times New Roman" w:hAnsi="Times New Roman"/>
                <w:lang w:eastAsia="da-DK"/>
              </w:rPr>
              <w:t>Techem</w:t>
            </w:r>
          </w:p>
        </w:tc>
      </w:tr>
      <w:tr w:rsidR="009E51D5" w:rsidRPr="00D00317" w:rsidTr="009E51D5">
        <w:tc>
          <w:tcPr>
            <w:tcW w:w="4928" w:type="dxa"/>
            <w:vAlign w:val="center"/>
          </w:tcPr>
          <w:p w:rsidR="009E51D5" w:rsidRPr="00ED7BE1" w:rsidRDefault="009E51D5" w:rsidP="009E51D5">
            <w:pPr>
              <w:pStyle w:val="ECCParagraph"/>
            </w:pPr>
            <w:r w:rsidRPr="00DF1E47">
              <w:rPr>
                <w:rFonts w:ascii="Times New Roman" w:hAnsi="Times New Roman"/>
                <w:lang w:val="da-DK" w:eastAsia="da-DK"/>
              </w:rPr>
              <w:t>Hekatron</w:t>
            </w:r>
          </w:p>
        </w:tc>
        <w:tc>
          <w:tcPr>
            <w:tcW w:w="4927" w:type="dxa"/>
            <w:vAlign w:val="center"/>
          </w:tcPr>
          <w:p w:rsidR="009E51D5" w:rsidRPr="00D00317" w:rsidRDefault="009E51D5" w:rsidP="009E51D5">
            <w:pPr>
              <w:pStyle w:val="ECCParagraph"/>
            </w:pPr>
            <w:r w:rsidRPr="00BD6508">
              <w:rPr>
                <w:rFonts w:ascii="Times New Roman" w:hAnsi="Times New Roman"/>
                <w:lang w:eastAsia="da-DK"/>
              </w:rPr>
              <w:t>TYCO</w:t>
            </w:r>
          </w:p>
        </w:tc>
      </w:tr>
      <w:tr w:rsidR="009E51D5" w:rsidRPr="00D00317" w:rsidTr="009E51D5">
        <w:tc>
          <w:tcPr>
            <w:tcW w:w="4928" w:type="dxa"/>
            <w:vAlign w:val="center"/>
          </w:tcPr>
          <w:p w:rsidR="009E51D5" w:rsidRDefault="009E51D5" w:rsidP="009E51D5">
            <w:pPr>
              <w:pStyle w:val="ECCParagraph"/>
            </w:pPr>
            <w:r w:rsidRPr="00DF1E47">
              <w:rPr>
                <w:rFonts w:ascii="Times New Roman" w:hAnsi="Times New Roman"/>
                <w:lang w:val="da-DK" w:eastAsia="da-DK"/>
              </w:rPr>
              <w:t>Homerider</w:t>
            </w:r>
          </w:p>
        </w:tc>
        <w:tc>
          <w:tcPr>
            <w:tcW w:w="4927" w:type="dxa"/>
            <w:vAlign w:val="center"/>
          </w:tcPr>
          <w:p w:rsidR="009E51D5" w:rsidRPr="00D00317" w:rsidRDefault="009E51D5" w:rsidP="009E51D5">
            <w:pPr>
              <w:pStyle w:val="ECCParagraph"/>
            </w:pPr>
            <w:r w:rsidRPr="00BD6508">
              <w:rPr>
                <w:rFonts w:ascii="Times New Roman" w:hAnsi="Times New Roman"/>
                <w:lang w:eastAsia="da-DK"/>
              </w:rPr>
              <w:t>TYCO fire and Security</w:t>
            </w:r>
          </w:p>
        </w:tc>
      </w:tr>
      <w:tr w:rsidR="009E51D5" w:rsidRPr="00D00317" w:rsidTr="009E51D5">
        <w:tc>
          <w:tcPr>
            <w:tcW w:w="4928" w:type="dxa"/>
            <w:vAlign w:val="center"/>
          </w:tcPr>
          <w:p w:rsidR="009E51D5" w:rsidRDefault="009E51D5" w:rsidP="009E51D5">
            <w:pPr>
              <w:pStyle w:val="ECCParagraph"/>
            </w:pPr>
            <w:r w:rsidRPr="00DF1E47">
              <w:rPr>
                <w:rFonts w:ascii="Times New Roman" w:hAnsi="Times New Roman"/>
                <w:lang w:val="da-DK" w:eastAsia="da-DK"/>
              </w:rPr>
              <w:t>Honeywell</w:t>
            </w:r>
          </w:p>
        </w:tc>
        <w:tc>
          <w:tcPr>
            <w:tcW w:w="4927" w:type="dxa"/>
            <w:vAlign w:val="center"/>
          </w:tcPr>
          <w:p w:rsidR="009E51D5" w:rsidRPr="00D00317" w:rsidRDefault="009E51D5" w:rsidP="009E51D5">
            <w:pPr>
              <w:pStyle w:val="ECCParagraph"/>
            </w:pPr>
            <w:r w:rsidRPr="00BD6508">
              <w:rPr>
                <w:rFonts w:ascii="Times New Roman" w:hAnsi="Times New Roman"/>
                <w:lang w:eastAsia="da-DK"/>
              </w:rPr>
              <w:t>USIF</w:t>
            </w:r>
          </w:p>
        </w:tc>
      </w:tr>
      <w:tr w:rsidR="009E51D5" w:rsidRPr="00D00317" w:rsidTr="009E51D5">
        <w:tc>
          <w:tcPr>
            <w:tcW w:w="4928" w:type="dxa"/>
            <w:vAlign w:val="center"/>
          </w:tcPr>
          <w:p w:rsidR="009E51D5" w:rsidRPr="00ED7BE1" w:rsidRDefault="009E51D5" w:rsidP="009E51D5">
            <w:pPr>
              <w:pStyle w:val="ECCParagraph"/>
            </w:pPr>
            <w:r w:rsidRPr="00DF1E47">
              <w:rPr>
                <w:rFonts w:ascii="Times New Roman" w:hAnsi="Times New Roman"/>
                <w:lang w:val="da-DK" w:eastAsia="da-DK"/>
              </w:rPr>
              <w:t>Honeywell Security and Com.</w:t>
            </w:r>
          </w:p>
        </w:tc>
        <w:tc>
          <w:tcPr>
            <w:tcW w:w="4927" w:type="dxa"/>
            <w:vAlign w:val="center"/>
          </w:tcPr>
          <w:p w:rsidR="009E51D5" w:rsidRPr="00D00317" w:rsidRDefault="009E51D5" w:rsidP="009E51D5">
            <w:pPr>
              <w:pStyle w:val="ECCParagraph"/>
            </w:pPr>
            <w:r w:rsidRPr="00BD6508">
              <w:rPr>
                <w:rFonts w:ascii="Times New Roman" w:hAnsi="Times New Roman"/>
                <w:lang w:eastAsia="da-DK"/>
              </w:rPr>
              <w:t>UTC Fire and Security NL</w:t>
            </w:r>
          </w:p>
        </w:tc>
      </w:tr>
      <w:tr w:rsidR="009E51D5" w:rsidRPr="00D00317" w:rsidTr="009E51D5">
        <w:tc>
          <w:tcPr>
            <w:tcW w:w="4928" w:type="dxa"/>
            <w:vAlign w:val="center"/>
          </w:tcPr>
          <w:p w:rsidR="009E51D5" w:rsidRPr="00ED7BE1" w:rsidRDefault="009E51D5" w:rsidP="009E51D5">
            <w:pPr>
              <w:pStyle w:val="ECCParagraph"/>
            </w:pPr>
            <w:r w:rsidRPr="00DF1E47">
              <w:rPr>
                <w:rFonts w:ascii="Times New Roman" w:hAnsi="Times New Roman"/>
                <w:lang w:val="da-DK" w:eastAsia="da-DK"/>
              </w:rPr>
              <w:t>Hydrometer</w:t>
            </w:r>
          </w:p>
        </w:tc>
        <w:tc>
          <w:tcPr>
            <w:tcW w:w="4927" w:type="dxa"/>
            <w:vAlign w:val="center"/>
          </w:tcPr>
          <w:p w:rsidR="009E51D5" w:rsidRPr="00D00317" w:rsidRDefault="009E51D5" w:rsidP="009E51D5">
            <w:pPr>
              <w:pStyle w:val="ECCParagraph"/>
            </w:pPr>
            <w:r w:rsidRPr="00BD6508">
              <w:rPr>
                <w:rFonts w:ascii="Times New Roman" w:hAnsi="Times New Roman"/>
                <w:lang w:eastAsia="da-DK"/>
              </w:rPr>
              <w:t>UTC Fire and Security Spain</w:t>
            </w:r>
          </w:p>
        </w:tc>
      </w:tr>
      <w:tr w:rsidR="009E51D5" w:rsidRPr="00D00317" w:rsidTr="009E51D5">
        <w:tc>
          <w:tcPr>
            <w:tcW w:w="4928" w:type="dxa"/>
            <w:vAlign w:val="center"/>
          </w:tcPr>
          <w:p w:rsidR="009E51D5" w:rsidRDefault="009E51D5" w:rsidP="009E51D5">
            <w:pPr>
              <w:pStyle w:val="ECCParagraph"/>
            </w:pPr>
            <w:r w:rsidRPr="00BD6508">
              <w:rPr>
                <w:rFonts w:ascii="Times New Roman" w:hAnsi="Times New Roman"/>
                <w:lang w:eastAsia="da-DK"/>
              </w:rPr>
              <w:t>Impingj</w:t>
            </w:r>
          </w:p>
        </w:tc>
        <w:tc>
          <w:tcPr>
            <w:tcW w:w="4927" w:type="dxa"/>
            <w:vAlign w:val="center"/>
          </w:tcPr>
          <w:p w:rsidR="009E51D5" w:rsidRPr="00D00317" w:rsidRDefault="009E51D5" w:rsidP="009E51D5">
            <w:pPr>
              <w:pStyle w:val="ECCParagraph"/>
            </w:pPr>
            <w:r w:rsidRPr="00BD6508">
              <w:rPr>
                <w:rFonts w:ascii="Times New Roman" w:hAnsi="Times New Roman"/>
                <w:lang w:eastAsia="da-DK"/>
              </w:rPr>
              <w:t>Velux</w:t>
            </w:r>
          </w:p>
        </w:tc>
      </w:tr>
      <w:tr w:rsidR="009E51D5" w:rsidRPr="00D00317" w:rsidTr="009E51D5">
        <w:tc>
          <w:tcPr>
            <w:tcW w:w="4928" w:type="dxa"/>
            <w:vAlign w:val="center"/>
          </w:tcPr>
          <w:p w:rsidR="009E51D5" w:rsidRDefault="009E51D5" w:rsidP="009E51D5">
            <w:pPr>
              <w:pStyle w:val="ECCParagraph"/>
            </w:pPr>
            <w:r w:rsidRPr="00BD6508">
              <w:rPr>
                <w:rFonts w:ascii="Times New Roman" w:hAnsi="Times New Roman"/>
                <w:lang w:eastAsia="da-DK"/>
              </w:rPr>
              <w:t>Industry South Africa</w:t>
            </w:r>
          </w:p>
        </w:tc>
        <w:tc>
          <w:tcPr>
            <w:tcW w:w="4927" w:type="dxa"/>
            <w:vAlign w:val="center"/>
          </w:tcPr>
          <w:p w:rsidR="009E51D5" w:rsidRPr="00D00317" w:rsidRDefault="009E51D5" w:rsidP="009E51D5">
            <w:pPr>
              <w:pStyle w:val="ECCParagraph"/>
            </w:pPr>
          </w:p>
        </w:tc>
      </w:tr>
      <w:tr w:rsidR="009E51D5" w:rsidRPr="00D00317" w:rsidTr="009E51D5">
        <w:tc>
          <w:tcPr>
            <w:tcW w:w="4928" w:type="dxa"/>
            <w:vAlign w:val="center"/>
          </w:tcPr>
          <w:p w:rsidR="009E51D5" w:rsidRDefault="009E51D5" w:rsidP="009E51D5">
            <w:pPr>
              <w:pStyle w:val="ECCParagraph"/>
            </w:pPr>
            <w:r w:rsidRPr="00BD6508">
              <w:rPr>
                <w:rFonts w:ascii="Times New Roman" w:hAnsi="Times New Roman"/>
                <w:lang w:eastAsia="da-DK"/>
              </w:rPr>
              <w:t>INSTA</w:t>
            </w:r>
          </w:p>
        </w:tc>
        <w:tc>
          <w:tcPr>
            <w:tcW w:w="4927" w:type="dxa"/>
            <w:vAlign w:val="center"/>
          </w:tcPr>
          <w:p w:rsidR="009E51D5" w:rsidRPr="00D00317" w:rsidRDefault="009E51D5" w:rsidP="009E51D5">
            <w:pPr>
              <w:pStyle w:val="ECCParagraph"/>
            </w:pPr>
          </w:p>
        </w:tc>
      </w:tr>
      <w:tr w:rsidR="009E51D5" w:rsidRPr="00D00317" w:rsidTr="009E51D5">
        <w:tc>
          <w:tcPr>
            <w:tcW w:w="4928" w:type="dxa"/>
            <w:vAlign w:val="center"/>
          </w:tcPr>
          <w:p w:rsidR="009E51D5" w:rsidRPr="00ED7BE1" w:rsidRDefault="009E51D5" w:rsidP="009E51D5">
            <w:pPr>
              <w:pStyle w:val="ECCParagraph"/>
            </w:pPr>
            <w:r w:rsidRPr="00BD6508">
              <w:rPr>
                <w:rFonts w:ascii="Times New Roman" w:hAnsi="Times New Roman"/>
                <w:lang w:eastAsia="da-DK"/>
              </w:rPr>
              <w:t>ISTA</w:t>
            </w:r>
          </w:p>
        </w:tc>
        <w:tc>
          <w:tcPr>
            <w:tcW w:w="4927" w:type="dxa"/>
            <w:vAlign w:val="center"/>
          </w:tcPr>
          <w:p w:rsidR="009E51D5" w:rsidRPr="00D00317" w:rsidRDefault="009E51D5" w:rsidP="009E51D5">
            <w:pPr>
              <w:pStyle w:val="ECCParagraph"/>
            </w:pPr>
          </w:p>
        </w:tc>
      </w:tr>
      <w:tr w:rsidR="009E51D5" w:rsidRPr="00D00317" w:rsidTr="009E51D5">
        <w:tc>
          <w:tcPr>
            <w:tcW w:w="4928" w:type="dxa"/>
            <w:vAlign w:val="center"/>
          </w:tcPr>
          <w:p w:rsidR="009E51D5" w:rsidRPr="00BD6508" w:rsidRDefault="009E51D5" w:rsidP="009E51D5">
            <w:pPr>
              <w:pStyle w:val="ECCParagraph"/>
              <w:rPr>
                <w:rFonts w:ascii="Times New Roman" w:hAnsi="Times New Roman"/>
                <w:lang w:eastAsia="da-DK"/>
              </w:rPr>
            </w:pPr>
            <w:r w:rsidRPr="00BD6508">
              <w:rPr>
                <w:rFonts w:ascii="Times New Roman" w:hAnsi="Times New Roman"/>
                <w:lang w:eastAsia="da-DK"/>
              </w:rPr>
              <w:t>Itron</w:t>
            </w:r>
          </w:p>
        </w:tc>
        <w:tc>
          <w:tcPr>
            <w:tcW w:w="4927" w:type="dxa"/>
            <w:vAlign w:val="center"/>
          </w:tcPr>
          <w:p w:rsidR="009E51D5" w:rsidRPr="00D00317" w:rsidRDefault="009E51D5" w:rsidP="009E51D5">
            <w:pPr>
              <w:pStyle w:val="ECCParagraph"/>
            </w:pPr>
          </w:p>
        </w:tc>
      </w:tr>
    </w:tbl>
    <w:p w:rsidR="009E51D5" w:rsidRDefault="009E51D5" w:rsidP="009E51D5">
      <w:pPr>
        <w:pStyle w:val="ECCParagraph"/>
      </w:pPr>
    </w:p>
    <w:p w:rsidR="009E51D5" w:rsidRPr="00ED7BE1" w:rsidRDefault="009E51D5" w:rsidP="009E51D5">
      <w:pPr>
        <w:pStyle w:val="ECCParagraph"/>
        <w:spacing w:after="120"/>
      </w:pPr>
      <w:r w:rsidRPr="00ED7BE1">
        <w:t>The approximate number of wireless devices either sold or bought annually in Europe was given as follows:</w:t>
      </w:r>
    </w:p>
    <w:p w:rsidR="009E51D5" w:rsidRPr="00ED7BE1" w:rsidRDefault="009E51D5" w:rsidP="00477344">
      <w:pPr>
        <w:pStyle w:val="ECCParBulleted"/>
        <w:numPr>
          <w:ilvl w:val="0"/>
          <w:numId w:val="42"/>
        </w:numPr>
        <w:spacing w:after="120"/>
      </w:pPr>
      <w:r w:rsidRPr="00ED7BE1">
        <w:t>24 responses representing &gt; 1 million devices (one responder stating that it was rather 10 millions instead of 1 million devices)</w:t>
      </w:r>
      <w:r>
        <w:t>;</w:t>
      </w:r>
    </w:p>
    <w:p w:rsidR="009E51D5" w:rsidRPr="00ED7BE1" w:rsidRDefault="009E51D5" w:rsidP="00477344">
      <w:pPr>
        <w:pStyle w:val="ECCParBulleted"/>
        <w:numPr>
          <w:ilvl w:val="0"/>
          <w:numId w:val="42"/>
        </w:numPr>
        <w:spacing w:after="120"/>
      </w:pPr>
      <w:r w:rsidRPr="00ED7BE1">
        <w:t>14 responses representing &gt; 100 000 devices</w:t>
      </w:r>
      <w:r>
        <w:t>;</w:t>
      </w:r>
    </w:p>
    <w:p w:rsidR="009E51D5" w:rsidRPr="00ED7BE1" w:rsidRDefault="009E51D5" w:rsidP="00477344">
      <w:pPr>
        <w:pStyle w:val="ECCParBulleted"/>
        <w:numPr>
          <w:ilvl w:val="0"/>
          <w:numId w:val="42"/>
        </w:numPr>
        <w:spacing w:after="120"/>
      </w:pPr>
      <w:r w:rsidRPr="00ED7BE1">
        <w:t>25 responses representing less than 100 000 devices (but more than 1 000)</w:t>
      </w:r>
      <w:r>
        <w:t>:</w:t>
      </w:r>
    </w:p>
    <w:p w:rsidR="009E51D5" w:rsidRPr="00ED7BE1" w:rsidRDefault="009E51D5" w:rsidP="00477344">
      <w:pPr>
        <w:pStyle w:val="ECCParBulleted"/>
        <w:numPr>
          <w:ilvl w:val="0"/>
          <w:numId w:val="42"/>
        </w:numPr>
        <w:spacing w:after="120"/>
      </w:pPr>
      <w:r w:rsidRPr="00ED7BE1">
        <w:t>10 responses representing less than 1 000 devices (but more than 100)</w:t>
      </w:r>
      <w:r>
        <w:t>;</w:t>
      </w:r>
    </w:p>
    <w:p w:rsidR="009E51D5" w:rsidRPr="00ED7BE1" w:rsidRDefault="00477344" w:rsidP="00477344">
      <w:pPr>
        <w:pStyle w:val="ECCParBulleted"/>
        <w:numPr>
          <w:ilvl w:val="0"/>
          <w:numId w:val="42"/>
        </w:numPr>
        <w:spacing w:after="120"/>
      </w:pPr>
      <w:r>
        <w:t xml:space="preserve">1 </w:t>
      </w:r>
      <w:r w:rsidR="009E51D5" w:rsidRPr="00ED7BE1">
        <w:t>response indicating less than 100 devices</w:t>
      </w:r>
      <w:r w:rsidR="009E51D5">
        <w:t>.</w:t>
      </w:r>
    </w:p>
    <w:p w:rsidR="009E51D5" w:rsidRPr="00ED7BE1" w:rsidRDefault="009E51D5" w:rsidP="009E51D5">
      <w:pPr>
        <w:ind w:left="360"/>
        <w:rPr>
          <w:rFonts w:cs="Arial"/>
          <w:b/>
          <w:bCs/>
        </w:rPr>
      </w:pPr>
    </w:p>
    <w:p w:rsidR="009E51D5" w:rsidRPr="00ED7BE1" w:rsidRDefault="009E51D5" w:rsidP="009E51D5">
      <w:pPr>
        <w:pStyle w:val="ECCParagraph"/>
      </w:pPr>
      <w:r w:rsidRPr="00ED7BE1">
        <w:lastRenderedPageBreak/>
        <w:t>The following minimum numbers of devices</w:t>
      </w:r>
      <w:r>
        <w:t xml:space="preserve"> operating in 863-870 MHz</w:t>
      </w:r>
      <w:r w:rsidRPr="00ED7BE1">
        <w:t xml:space="preserve"> sold annually amongst application fields  from the above responses can be assumed conservatively as follows </w:t>
      </w:r>
      <w:r w:rsidRPr="00047CAE">
        <w:rPr>
          <w:u w:val="single"/>
        </w:rPr>
        <w:t>(this only includes those who provided an answer and does not represent the whole market, i.e. the real numbers in the market are likely to be higher</w:t>
      </w:r>
      <w:r>
        <w:rPr>
          <w:u w:val="single"/>
        </w:rPr>
        <w:t>. For example, the current device population for social/personal alarms is estimated to be around 3 millions</w:t>
      </w:r>
      <w:r w:rsidRPr="00047CAE">
        <w:rPr>
          <w:u w:val="single"/>
        </w:rPr>
        <w:t>)</w:t>
      </w:r>
      <w:r w:rsidRPr="00ED7BE1">
        <w:t>:</w:t>
      </w:r>
    </w:p>
    <w:p w:rsidR="009E51D5" w:rsidRPr="00ED7BE1" w:rsidRDefault="009E51D5" w:rsidP="009E51D5">
      <w:pPr>
        <w:tabs>
          <w:tab w:val="left" w:pos="5670"/>
        </w:tabs>
        <w:spacing w:after="120"/>
        <w:ind w:left="720"/>
        <w:rPr>
          <w:rFonts w:cs="Arial"/>
          <w:bCs/>
        </w:rPr>
      </w:pPr>
      <w:r>
        <w:rPr>
          <w:rFonts w:cs="Arial"/>
          <w:bCs/>
        </w:rPr>
        <w:t xml:space="preserve">All kinds of </w:t>
      </w:r>
      <w:r w:rsidRPr="00ED7BE1">
        <w:rPr>
          <w:rFonts w:cs="Arial"/>
          <w:bCs/>
        </w:rPr>
        <w:t xml:space="preserve">Metering: </w:t>
      </w:r>
      <w:r w:rsidRPr="00ED7BE1">
        <w:rPr>
          <w:rFonts w:cs="Arial"/>
          <w:bCs/>
        </w:rPr>
        <w:tab/>
        <w:t>&gt; 10 millions</w:t>
      </w:r>
    </w:p>
    <w:p w:rsidR="009E51D5" w:rsidRPr="00ED7BE1" w:rsidRDefault="009E51D5" w:rsidP="009E51D5">
      <w:pPr>
        <w:tabs>
          <w:tab w:val="left" w:pos="5670"/>
        </w:tabs>
        <w:spacing w:after="120"/>
        <w:ind w:left="720"/>
        <w:rPr>
          <w:rFonts w:cs="Arial"/>
          <w:bCs/>
        </w:rPr>
      </w:pPr>
      <w:r w:rsidRPr="00ED7BE1">
        <w:rPr>
          <w:rFonts w:cs="Arial"/>
          <w:bCs/>
        </w:rPr>
        <w:t>Home automation (incl. all kinds of remote controls)</w:t>
      </w:r>
      <w:r w:rsidRPr="00ED7BE1">
        <w:rPr>
          <w:rFonts w:cs="Arial"/>
          <w:bCs/>
        </w:rPr>
        <w:tab/>
        <w:t>&gt; 10 millions</w:t>
      </w:r>
    </w:p>
    <w:p w:rsidR="009E51D5" w:rsidRPr="00ED7BE1" w:rsidRDefault="009E51D5" w:rsidP="009E51D5">
      <w:pPr>
        <w:tabs>
          <w:tab w:val="left" w:pos="5670"/>
        </w:tabs>
        <w:spacing w:after="120"/>
        <w:ind w:left="720"/>
        <w:rPr>
          <w:rFonts w:cs="Arial"/>
          <w:bCs/>
        </w:rPr>
      </w:pPr>
      <w:r w:rsidRPr="00ED7BE1">
        <w:rPr>
          <w:rFonts w:cs="Arial"/>
          <w:bCs/>
        </w:rPr>
        <w:t>Alarms</w:t>
      </w:r>
      <w:r>
        <w:rPr>
          <w:rFonts w:cs="Arial"/>
          <w:bCs/>
        </w:rPr>
        <w:t xml:space="preserve"> (incl. intrusion sensing)</w:t>
      </w:r>
      <w:r w:rsidRPr="00ED7BE1">
        <w:rPr>
          <w:rFonts w:cs="Arial"/>
          <w:bCs/>
        </w:rPr>
        <w:tab/>
        <w:t>&gt; 10 millions</w:t>
      </w:r>
    </w:p>
    <w:p w:rsidR="009E51D5" w:rsidRPr="00ED7BE1" w:rsidRDefault="009E51D5" w:rsidP="009E51D5">
      <w:pPr>
        <w:tabs>
          <w:tab w:val="left" w:pos="5670"/>
        </w:tabs>
        <w:spacing w:after="120"/>
        <w:ind w:left="720"/>
        <w:rPr>
          <w:rFonts w:cs="Arial"/>
          <w:bCs/>
        </w:rPr>
      </w:pPr>
      <w:r w:rsidRPr="00ED7BE1">
        <w:rPr>
          <w:rFonts w:cs="Arial"/>
          <w:bCs/>
        </w:rPr>
        <w:t>Automotive</w:t>
      </w:r>
      <w:r w:rsidRPr="00ED7BE1">
        <w:rPr>
          <w:rFonts w:cs="Arial"/>
          <w:bCs/>
        </w:rPr>
        <w:tab/>
        <w:t>&gt; 5 millions</w:t>
      </w:r>
    </w:p>
    <w:p w:rsidR="009E51D5" w:rsidRPr="00ED7BE1" w:rsidRDefault="009E51D5" w:rsidP="009E51D5">
      <w:pPr>
        <w:tabs>
          <w:tab w:val="left" w:pos="5670"/>
        </w:tabs>
        <w:spacing w:after="120"/>
        <w:ind w:left="720"/>
        <w:rPr>
          <w:rFonts w:cs="Arial"/>
          <w:bCs/>
        </w:rPr>
      </w:pPr>
      <w:r w:rsidRPr="00ED7BE1">
        <w:rPr>
          <w:rFonts w:cs="Arial"/>
          <w:bCs/>
        </w:rPr>
        <w:t>Industrial, including sensors in industry</w:t>
      </w:r>
      <w:r w:rsidRPr="00ED7BE1">
        <w:rPr>
          <w:rFonts w:cs="Arial"/>
          <w:bCs/>
        </w:rPr>
        <w:tab/>
        <w:t>&gt; 2 millions</w:t>
      </w:r>
    </w:p>
    <w:p w:rsidR="009E51D5" w:rsidRPr="00ED7BE1" w:rsidRDefault="009E51D5" w:rsidP="009E51D5">
      <w:pPr>
        <w:tabs>
          <w:tab w:val="left" w:pos="5670"/>
        </w:tabs>
        <w:spacing w:after="120"/>
        <w:ind w:left="720"/>
        <w:rPr>
          <w:rFonts w:cs="Arial"/>
          <w:bCs/>
        </w:rPr>
      </w:pPr>
      <w:r w:rsidRPr="00ED7BE1">
        <w:rPr>
          <w:rFonts w:cs="Arial"/>
          <w:bCs/>
        </w:rPr>
        <w:t>Audio</w:t>
      </w:r>
      <w:r w:rsidRPr="00ED7BE1">
        <w:rPr>
          <w:rFonts w:cs="Arial"/>
          <w:bCs/>
        </w:rPr>
        <w:tab/>
        <w:t>&gt; 2 millions</w:t>
      </w:r>
    </w:p>
    <w:p w:rsidR="009E51D5" w:rsidRPr="00ED7BE1" w:rsidRDefault="009E51D5" w:rsidP="009E51D5">
      <w:pPr>
        <w:tabs>
          <w:tab w:val="left" w:pos="5670"/>
        </w:tabs>
        <w:spacing w:after="120"/>
        <w:ind w:left="5760" w:hanging="5040"/>
        <w:rPr>
          <w:rFonts w:cs="Arial"/>
          <w:bCs/>
        </w:rPr>
      </w:pPr>
      <w:r w:rsidRPr="00ED7BE1">
        <w:rPr>
          <w:rFonts w:cs="Arial"/>
          <w:bCs/>
        </w:rPr>
        <w:t>RFID</w:t>
      </w:r>
      <w:r w:rsidRPr="00ED7BE1">
        <w:rPr>
          <w:rFonts w:cs="Arial"/>
          <w:bCs/>
        </w:rPr>
        <w:tab/>
        <w:t>&gt; 100 000 readers with millions of tags</w:t>
      </w:r>
    </w:p>
    <w:p w:rsidR="009E51D5" w:rsidRDefault="009E51D5" w:rsidP="009E51D5">
      <w:pPr>
        <w:tabs>
          <w:tab w:val="left" w:pos="5670"/>
        </w:tabs>
        <w:spacing w:after="120"/>
        <w:ind w:left="720"/>
        <w:rPr>
          <w:rFonts w:cs="Arial"/>
          <w:bCs/>
        </w:rPr>
      </w:pPr>
      <w:r w:rsidRPr="00ED7BE1">
        <w:rPr>
          <w:rFonts w:cs="Arial"/>
          <w:bCs/>
        </w:rPr>
        <w:t>Social/personal alarms</w:t>
      </w:r>
      <w:r w:rsidRPr="00ED7BE1">
        <w:rPr>
          <w:rFonts w:cs="Arial"/>
          <w:bCs/>
        </w:rPr>
        <w:tab/>
        <w:t>&gt; 100 000 units annually</w:t>
      </w:r>
      <w:r>
        <w:rPr>
          <w:rFonts w:cs="Arial"/>
          <w:bCs/>
        </w:rPr>
        <w:t>.</w:t>
      </w:r>
    </w:p>
    <w:p w:rsidR="009E51D5" w:rsidRPr="00ED7BE1" w:rsidRDefault="009E51D5" w:rsidP="009E51D5">
      <w:pPr>
        <w:ind w:left="720"/>
        <w:rPr>
          <w:rFonts w:cs="Arial"/>
          <w:bCs/>
        </w:rPr>
      </w:pPr>
    </w:p>
    <w:p w:rsidR="009E51D5" w:rsidRPr="00EA7A90" w:rsidRDefault="009E51D5" w:rsidP="009E51D5">
      <w:pPr>
        <w:pStyle w:val="ECCParagraph"/>
      </w:pPr>
      <w:r w:rsidRPr="00ED7BE1">
        <w:t>The above is only to show the approximate weighting of the respective application field as represented in the responses. It is also to note that many answers indicated that they see a strong growth of their respective wireless device sector. Such statements were made across all the above application fields.</w:t>
      </w:r>
    </w:p>
    <w:p w:rsidR="009E51D5" w:rsidRDefault="009E51D5" w:rsidP="00A472B6">
      <w:pPr>
        <w:pStyle w:val="Heading1"/>
      </w:pPr>
      <w:bookmarkStart w:id="3" w:name="_Toc311472690"/>
      <w:bookmarkStart w:id="4" w:name="_Toc323545844"/>
      <w:r>
        <w:lastRenderedPageBreak/>
        <w:t>applications</w:t>
      </w:r>
      <w:bookmarkEnd w:id="3"/>
      <w:bookmarkEnd w:id="4"/>
    </w:p>
    <w:p w:rsidR="009E51D5" w:rsidRDefault="009E51D5" w:rsidP="009E51D5">
      <w:pPr>
        <w:pStyle w:val="Caption"/>
      </w:pPr>
      <w:r>
        <w:t xml:space="preserve">Table </w:t>
      </w:r>
      <w:r>
        <w:fldChar w:fldCharType="begin"/>
      </w:r>
      <w:r>
        <w:instrText xml:space="preserve"> SEQ Table \* ARABIC </w:instrText>
      </w:r>
      <w:r>
        <w:fldChar w:fldCharType="separate"/>
      </w:r>
      <w:r w:rsidR="001A06A7">
        <w:rPr>
          <w:noProof/>
        </w:rPr>
        <w:t>2</w:t>
      </w:r>
      <w:r>
        <w:fldChar w:fldCharType="end"/>
      </w:r>
      <w:r>
        <w:t>: Applications</w:t>
      </w:r>
    </w:p>
    <w:tbl>
      <w:tblPr>
        <w:tblW w:w="0" w:type="auto"/>
        <w:tblBorders>
          <w:top w:val="single" w:sz="4" w:space="0" w:color="D2232A"/>
          <w:left w:val="single" w:sz="4" w:space="0" w:color="D2232A"/>
          <w:bottom w:val="single" w:sz="4" w:space="0" w:color="D2232A"/>
          <w:right w:val="single" w:sz="4" w:space="0" w:color="D2232A"/>
          <w:insideH w:val="single" w:sz="4" w:space="0" w:color="D2232A"/>
          <w:insideV w:val="single" w:sz="4" w:space="0" w:color="D2232A"/>
        </w:tblBorders>
        <w:tblCellMar>
          <w:top w:w="11" w:type="dxa"/>
          <w:bottom w:w="11" w:type="dxa"/>
        </w:tblCellMar>
        <w:tblLook w:val="01E0" w:firstRow="1" w:lastRow="1" w:firstColumn="1" w:lastColumn="1" w:noHBand="0" w:noVBand="0"/>
      </w:tblPr>
      <w:tblGrid>
        <w:gridCol w:w="4644"/>
        <w:gridCol w:w="5211"/>
      </w:tblGrid>
      <w:tr w:rsidR="009E51D5" w:rsidRPr="00D00317" w:rsidTr="009E51D5">
        <w:trPr>
          <w:tblHeader/>
        </w:trPr>
        <w:tc>
          <w:tcPr>
            <w:tcW w:w="9855" w:type="dxa"/>
            <w:gridSpan w:val="2"/>
            <w:shd w:val="clear" w:color="auto" w:fill="D2232A"/>
            <w:vAlign w:val="center"/>
          </w:tcPr>
          <w:p w:rsidR="009E51D5" w:rsidRPr="007B0293" w:rsidRDefault="009E51D5" w:rsidP="009E51D5">
            <w:pPr>
              <w:pStyle w:val="ECCParagraph"/>
              <w:jc w:val="center"/>
              <w:rPr>
                <w:color w:val="FFFFFF" w:themeColor="background1"/>
                <w:vertAlign w:val="superscript"/>
              </w:rPr>
            </w:pPr>
            <w:r w:rsidRPr="007B0293">
              <w:rPr>
                <w:color w:val="FFFFFF" w:themeColor="background1"/>
              </w:rPr>
              <w:t>The following applications were named in the answers</w:t>
            </w:r>
          </w:p>
        </w:tc>
      </w:tr>
      <w:tr w:rsidR="009E51D5" w:rsidRPr="00D00317" w:rsidTr="009E51D5">
        <w:tc>
          <w:tcPr>
            <w:tcW w:w="4644" w:type="dxa"/>
            <w:vAlign w:val="center"/>
          </w:tcPr>
          <w:p w:rsidR="009E51D5" w:rsidRPr="00BE2266" w:rsidRDefault="009E51D5" w:rsidP="009E51D5">
            <w:pPr>
              <w:pStyle w:val="ECCParagraph"/>
            </w:pPr>
            <w:r w:rsidRPr="00BE2266">
              <w:t>2-way communications</w:t>
            </w:r>
          </w:p>
        </w:tc>
        <w:tc>
          <w:tcPr>
            <w:tcW w:w="5211" w:type="dxa"/>
            <w:vAlign w:val="center"/>
          </w:tcPr>
          <w:p w:rsidR="009E51D5" w:rsidRPr="00BE2266" w:rsidRDefault="009E51D5" w:rsidP="009E51D5">
            <w:pPr>
              <w:pStyle w:val="ECCParagraph"/>
            </w:pPr>
            <w:r w:rsidRPr="00BE2266">
              <w:t>Payment transactions</w:t>
            </w:r>
          </w:p>
        </w:tc>
      </w:tr>
      <w:tr w:rsidR="009E51D5" w:rsidRPr="00D00317" w:rsidTr="009E51D5">
        <w:tc>
          <w:tcPr>
            <w:tcW w:w="4644" w:type="dxa"/>
            <w:vAlign w:val="center"/>
          </w:tcPr>
          <w:p w:rsidR="009E51D5" w:rsidRPr="00BE2266" w:rsidRDefault="009E51D5" w:rsidP="009E51D5">
            <w:pPr>
              <w:pStyle w:val="ECCParagraph"/>
            </w:pPr>
            <w:r w:rsidRPr="00BE2266">
              <w:t>Access control</w:t>
            </w:r>
          </w:p>
        </w:tc>
        <w:tc>
          <w:tcPr>
            <w:tcW w:w="5211" w:type="dxa"/>
            <w:vAlign w:val="center"/>
          </w:tcPr>
          <w:p w:rsidR="009E51D5" w:rsidRPr="00BE2266" w:rsidRDefault="009E51D5" w:rsidP="009E51D5">
            <w:pPr>
              <w:pStyle w:val="ECCParagraph"/>
            </w:pPr>
            <w:r w:rsidRPr="00BE2266">
              <w:t>People and goods tracking</w:t>
            </w:r>
          </w:p>
        </w:tc>
      </w:tr>
      <w:tr w:rsidR="009E51D5" w:rsidRPr="00D00317" w:rsidTr="009E51D5">
        <w:tc>
          <w:tcPr>
            <w:tcW w:w="4644" w:type="dxa"/>
            <w:vAlign w:val="center"/>
          </w:tcPr>
          <w:p w:rsidR="009E51D5" w:rsidRPr="00BE2266" w:rsidRDefault="009E51D5" w:rsidP="009E51D5">
            <w:pPr>
              <w:pStyle w:val="ECCParagraph"/>
            </w:pPr>
            <w:r w:rsidRPr="00BE2266">
              <w:t>Alarms</w:t>
            </w:r>
          </w:p>
        </w:tc>
        <w:tc>
          <w:tcPr>
            <w:tcW w:w="5211" w:type="dxa"/>
            <w:vAlign w:val="center"/>
          </w:tcPr>
          <w:p w:rsidR="009E51D5" w:rsidRPr="00BE2266" w:rsidRDefault="009E51D5" w:rsidP="009E51D5">
            <w:pPr>
              <w:pStyle w:val="ECCParagraph"/>
            </w:pPr>
            <w:r w:rsidRPr="00BE2266">
              <w:t>Personal attack protection</w:t>
            </w:r>
          </w:p>
        </w:tc>
      </w:tr>
      <w:tr w:rsidR="009E51D5" w:rsidRPr="00D00317" w:rsidTr="009E51D5">
        <w:tc>
          <w:tcPr>
            <w:tcW w:w="4644" w:type="dxa"/>
            <w:vAlign w:val="center"/>
          </w:tcPr>
          <w:p w:rsidR="009E51D5" w:rsidRPr="00BE2266" w:rsidRDefault="009E51D5" w:rsidP="009E51D5">
            <w:pPr>
              <w:pStyle w:val="ECCParagraph"/>
            </w:pPr>
            <w:r w:rsidRPr="00BE2266">
              <w:t>Applications for elderly people</w:t>
            </w:r>
          </w:p>
        </w:tc>
        <w:tc>
          <w:tcPr>
            <w:tcW w:w="5211" w:type="dxa"/>
            <w:vAlign w:val="center"/>
          </w:tcPr>
          <w:p w:rsidR="009E51D5" w:rsidRPr="00BE2266" w:rsidRDefault="009E51D5" w:rsidP="009E51D5">
            <w:pPr>
              <w:pStyle w:val="ECCParagraph"/>
            </w:pPr>
            <w:r w:rsidRPr="00BE2266">
              <w:t>Personal security</w:t>
            </w:r>
          </w:p>
        </w:tc>
      </w:tr>
      <w:tr w:rsidR="009E51D5" w:rsidRPr="00D00317" w:rsidTr="009E51D5">
        <w:tc>
          <w:tcPr>
            <w:tcW w:w="4644" w:type="dxa"/>
            <w:vAlign w:val="center"/>
          </w:tcPr>
          <w:p w:rsidR="009E51D5" w:rsidRPr="00BE2266" w:rsidRDefault="009E51D5" w:rsidP="009E51D5">
            <w:pPr>
              <w:pStyle w:val="ECCParagraph"/>
            </w:pPr>
            <w:r w:rsidRPr="00BE2266">
              <w:t>Applications for prisons</w:t>
            </w:r>
          </w:p>
        </w:tc>
        <w:tc>
          <w:tcPr>
            <w:tcW w:w="5211" w:type="dxa"/>
            <w:vAlign w:val="center"/>
          </w:tcPr>
          <w:p w:rsidR="009E51D5" w:rsidRPr="00BE2266" w:rsidRDefault="009E51D5" w:rsidP="009E51D5">
            <w:pPr>
              <w:pStyle w:val="ECCParagraph"/>
            </w:pPr>
            <w:r w:rsidRPr="00BE2266">
              <w:t>Remote Control</w:t>
            </w:r>
          </w:p>
        </w:tc>
      </w:tr>
      <w:tr w:rsidR="009E51D5" w:rsidRPr="00D00317" w:rsidTr="009E51D5">
        <w:tc>
          <w:tcPr>
            <w:tcW w:w="4644" w:type="dxa"/>
            <w:vAlign w:val="center"/>
          </w:tcPr>
          <w:p w:rsidR="009E51D5" w:rsidRPr="00BE2266" w:rsidRDefault="009E51D5" w:rsidP="009E51D5">
            <w:pPr>
              <w:pStyle w:val="ECCParagraph"/>
            </w:pPr>
            <w:r w:rsidRPr="00BE2266">
              <w:t xml:space="preserve">Audio &amp; Imaging </w:t>
            </w:r>
          </w:p>
        </w:tc>
        <w:tc>
          <w:tcPr>
            <w:tcW w:w="5211" w:type="dxa"/>
            <w:vAlign w:val="center"/>
          </w:tcPr>
          <w:p w:rsidR="009E51D5" w:rsidRPr="00BE2266" w:rsidRDefault="009E51D5" w:rsidP="009E51D5">
            <w:pPr>
              <w:pStyle w:val="ECCParagraph"/>
            </w:pPr>
            <w:r w:rsidRPr="00BE2266">
              <w:t>RFID Readers &amp; tags and associated applications</w:t>
            </w:r>
          </w:p>
        </w:tc>
      </w:tr>
      <w:tr w:rsidR="009E51D5" w:rsidRPr="00D00317" w:rsidTr="009E51D5">
        <w:tc>
          <w:tcPr>
            <w:tcW w:w="4644" w:type="dxa"/>
            <w:vAlign w:val="center"/>
          </w:tcPr>
          <w:p w:rsidR="009E51D5" w:rsidRPr="00BE2266" w:rsidRDefault="009E51D5" w:rsidP="009E51D5">
            <w:pPr>
              <w:pStyle w:val="ECCParagraph"/>
            </w:pPr>
            <w:r w:rsidRPr="00BE2266">
              <w:t>Audio transceivers</w:t>
            </w:r>
          </w:p>
        </w:tc>
        <w:tc>
          <w:tcPr>
            <w:tcW w:w="5211" w:type="dxa"/>
            <w:vAlign w:val="center"/>
          </w:tcPr>
          <w:p w:rsidR="009E51D5" w:rsidRPr="00BE2266" w:rsidRDefault="009E51D5" w:rsidP="009E51D5">
            <w:pPr>
              <w:pStyle w:val="ECCParagraph"/>
            </w:pPr>
            <w:r w:rsidRPr="00BE2266">
              <w:t>Security</w:t>
            </w:r>
          </w:p>
        </w:tc>
      </w:tr>
      <w:tr w:rsidR="009E51D5" w:rsidRPr="00D00317" w:rsidTr="009E51D5">
        <w:tc>
          <w:tcPr>
            <w:tcW w:w="4644" w:type="dxa"/>
            <w:vAlign w:val="center"/>
          </w:tcPr>
          <w:p w:rsidR="009E51D5" w:rsidRPr="00BE2266" w:rsidRDefault="009E51D5" w:rsidP="009E51D5">
            <w:pPr>
              <w:pStyle w:val="ECCParagraph"/>
            </w:pPr>
            <w:r w:rsidRPr="00BE2266">
              <w:t>Building automation</w:t>
            </w:r>
          </w:p>
        </w:tc>
        <w:tc>
          <w:tcPr>
            <w:tcW w:w="5211" w:type="dxa"/>
            <w:vAlign w:val="center"/>
          </w:tcPr>
          <w:p w:rsidR="009E51D5" w:rsidRPr="00BE2266" w:rsidRDefault="009E51D5" w:rsidP="009E51D5">
            <w:pPr>
              <w:pStyle w:val="ECCParagraph"/>
            </w:pPr>
            <w:r w:rsidRPr="00BE2266">
              <w:t>Sensors/actuators/wireless com at machines/ industrial field</w:t>
            </w:r>
          </w:p>
        </w:tc>
      </w:tr>
      <w:tr w:rsidR="009E51D5" w:rsidRPr="00D00317" w:rsidTr="009E51D5">
        <w:tc>
          <w:tcPr>
            <w:tcW w:w="4644" w:type="dxa"/>
            <w:vAlign w:val="center"/>
          </w:tcPr>
          <w:p w:rsidR="009E51D5" w:rsidRPr="00BE2266" w:rsidRDefault="009E51D5" w:rsidP="009E51D5">
            <w:pPr>
              <w:pStyle w:val="ECCParagraph"/>
            </w:pPr>
            <w:r w:rsidRPr="00BE2266">
              <w:t>Call points</w:t>
            </w:r>
          </w:p>
        </w:tc>
        <w:tc>
          <w:tcPr>
            <w:tcW w:w="5211" w:type="dxa"/>
            <w:vAlign w:val="center"/>
          </w:tcPr>
          <w:p w:rsidR="009E51D5" w:rsidRPr="00BE2266" w:rsidRDefault="009E51D5" w:rsidP="009E51D5">
            <w:pPr>
              <w:pStyle w:val="ECCParagraph"/>
            </w:pPr>
            <w:r w:rsidRPr="00BE2266">
              <w:t>Smoke detectors</w:t>
            </w:r>
          </w:p>
        </w:tc>
      </w:tr>
      <w:tr w:rsidR="009E51D5" w:rsidRPr="00D00317" w:rsidTr="009E51D5">
        <w:tc>
          <w:tcPr>
            <w:tcW w:w="4644" w:type="dxa"/>
            <w:vAlign w:val="center"/>
          </w:tcPr>
          <w:p w:rsidR="009E51D5" w:rsidRPr="00BE2266" w:rsidRDefault="009E51D5" w:rsidP="009E51D5">
            <w:pPr>
              <w:pStyle w:val="ECCParagraph"/>
            </w:pPr>
            <w:r w:rsidRPr="00BE2266">
              <w:t>Digital signatures</w:t>
            </w:r>
          </w:p>
        </w:tc>
        <w:tc>
          <w:tcPr>
            <w:tcW w:w="5211" w:type="dxa"/>
            <w:vAlign w:val="center"/>
          </w:tcPr>
          <w:p w:rsidR="009E51D5" w:rsidRPr="00BE2266" w:rsidRDefault="009E51D5" w:rsidP="009E51D5">
            <w:pPr>
              <w:pStyle w:val="ECCParagraph"/>
            </w:pPr>
            <w:r w:rsidRPr="00BE2266">
              <w:t>Social Alarms</w:t>
            </w:r>
          </w:p>
        </w:tc>
      </w:tr>
      <w:tr w:rsidR="009E51D5" w:rsidRPr="00D00317" w:rsidTr="009E51D5">
        <w:tc>
          <w:tcPr>
            <w:tcW w:w="4644" w:type="dxa"/>
            <w:vAlign w:val="center"/>
          </w:tcPr>
          <w:p w:rsidR="009E51D5" w:rsidRPr="00BE2266" w:rsidRDefault="009E51D5" w:rsidP="009E51D5">
            <w:pPr>
              <w:pStyle w:val="ECCParagraph"/>
            </w:pPr>
            <w:r w:rsidRPr="00BE2266">
              <w:t>Emergency lighting, lighting control, blind control, control of lighting load</w:t>
            </w:r>
          </w:p>
        </w:tc>
        <w:tc>
          <w:tcPr>
            <w:tcW w:w="5211" w:type="dxa"/>
            <w:vAlign w:val="center"/>
          </w:tcPr>
          <w:p w:rsidR="009E51D5" w:rsidRPr="00BE2266" w:rsidRDefault="009E51D5" w:rsidP="009E51D5">
            <w:pPr>
              <w:pStyle w:val="ECCParagraph"/>
            </w:pPr>
            <w:r w:rsidRPr="00BE2266">
              <w:t>Telemetry</w:t>
            </w:r>
          </w:p>
        </w:tc>
      </w:tr>
      <w:tr w:rsidR="009E51D5" w:rsidRPr="00D00317" w:rsidTr="009E51D5">
        <w:tc>
          <w:tcPr>
            <w:tcW w:w="4644" w:type="dxa"/>
            <w:vAlign w:val="center"/>
          </w:tcPr>
          <w:p w:rsidR="009E51D5" w:rsidRPr="00BE2266" w:rsidRDefault="009E51D5" w:rsidP="009E51D5">
            <w:pPr>
              <w:pStyle w:val="ECCParagraph"/>
            </w:pPr>
            <w:r w:rsidRPr="00BE2266">
              <w:t>Healthcare</w:t>
            </w:r>
          </w:p>
        </w:tc>
        <w:tc>
          <w:tcPr>
            <w:tcW w:w="5211" w:type="dxa"/>
            <w:vAlign w:val="center"/>
          </w:tcPr>
          <w:p w:rsidR="009E51D5" w:rsidRPr="00BE2266" w:rsidRDefault="009E51D5" w:rsidP="009E51D5">
            <w:pPr>
              <w:pStyle w:val="ECCParagraph"/>
            </w:pPr>
            <w:r w:rsidRPr="00BE2266">
              <w:t>Vehicle remotes</w:t>
            </w:r>
          </w:p>
        </w:tc>
      </w:tr>
      <w:tr w:rsidR="009E51D5" w:rsidRPr="00D00317" w:rsidTr="009E51D5">
        <w:tc>
          <w:tcPr>
            <w:tcW w:w="4644" w:type="dxa"/>
            <w:vAlign w:val="center"/>
          </w:tcPr>
          <w:p w:rsidR="009E51D5" w:rsidRPr="00BE2266" w:rsidRDefault="009E51D5" w:rsidP="009E51D5">
            <w:pPr>
              <w:pStyle w:val="ECCParagraph"/>
            </w:pPr>
            <w:r w:rsidRPr="00BE2266">
              <w:t>Home control</w:t>
            </w:r>
          </w:p>
        </w:tc>
        <w:tc>
          <w:tcPr>
            <w:tcW w:w="5211" w:type="dxa"/>
            <w:vAlign w:val="center"/>
          </w:tcPr>
          <w:p w:rsidR="009E51D5" w:rsidRPr="00BE2266" w:rsidRDefault="009E51D5" w:rsidP="009E51D5">
            <w:pPr>
              <w:pStyle w:val="ECCParagraph"/>
            </w:pPr>
            <w:r w:rsidRPr="00BE2266">
              <w:t>Vehicle tracking</w:t>
            </w:r>
          </w:p>
        </w:tc>
      </w:tr>
      <w:tr w:rsidR="009E51D5" w:rsidRPr="00D00317" w:rsidTr="009E51D5">
        <w:tc>
          <w:tcPr>
            <w:tcW w:w="4644" w:type="dxa"/>
            <w:vAlign w:val="center"/>
          </w:tcPr>
          <w:p w:rsidR="009E51D5" w:rsidRPr="00BE2266" w:rsidRDefault="009E51D5" w:rsidP="009E51D5">
            <w:pPr>
              <w:pStyle w:val="ECCParagraph"/>
            </w:pPr>
            <w:r w:rsidRPr="00BE2266">
              <w:t>Intrusion control</w:t>
            </w:r>
          </w:p>
        </w:tc>
        <w:tc>
          <w:tcPr>
            <w:tcW w:w="5211" w:type="dxa"/>
            <w:vAlign w:val="center"/>
          </w:tcPr>
          <w:p w:rsidR="009E51D5" w:rsidRPr="00BE2266" w:rsidRDefault="009E51D5" w:rsidP="009E51D5">
            <w:pPr>
              <w:pStyle w:val="ECCParagraph"/>
            </w:pPr>
            <w:r w:rsidRPr="00BE2266">
              <w:t>Wireless Audio/ Cordless Audio/Audio/Tourguides</w:t>
            </w:r>
          </w:p>
        </w:tc>
      </w:tr>
      <w:tr w:rsidR="009E51D5" w:rsidRPr="00D00317" w:rsidTr="009E51D5">
        <w:tc>
          <w:tcPr>
            <w:tcW w:w="4644" w:type="dxa"/>
            <w:vAlign w:val="center"/>
          </w:tcPr>
          <w:p w:rsidR="009E51D5" w:rsidRPr="00BE2266" w:rsidRDefault="009E51D5" w:rsidP="009E51D5">
            <w:pPr>
              <w:pStyle w:val="ECCParagraph"/>
            </w:pPr>
          </w:p>
        </w:tc>
        <w:tc>
          <w:tcPr>
            <w:tcW w:w="5211" w:type="dxa"/>
            <w:vAlign w:val="center"/>
          </w:tcPr>
          <w:p w:rsidR="009E51D5" w:rsidRPr="00BE2266" w:rsidRDefault="009E51D5" w:rsidP="009E51D5">
            <w:pPr>
              <w:pStyle w:val="ECCParagraph"/>
            </w:pPr>
            <w:r w:rsidRPr="00BE2266">
              <w:t>Wireless gateways</w:t>
            </w:r>
          </w:p>
        </w:tc>
      </w:tr>
    </w:tbl>
    <w:p w:rsidR="009E51D5" w:rsidRDefault="009E51D5" w:rsidP="00A472B6">
      <w:pPr>
        <w:pStyle w:val="Heading1"/>
      </w:pPr>
      <w:bookmarkStart w:id="5" w:name="_Toc311472691"/>
      <w:bookmarkStart w:id="6" w:name="_Toc323545845"/>
      <w:r>
        <w:lastRenderedPageBreak/>
        <w:t>spectrum access and bandwith used</w:t>
      </w:r>
      <w:bookmarkEnd w:id="5"/>
      <w:bookmarkEnd w:id="6"/>
    </w:p>
    <w:p w:rsidR="009E51D5" w:rsidRPr="00ED7BE1" w:rsidRDefault="009E51D5" w:rsidP="009E51D5">
      <w:pPr>
        <w:pStyle w:val="ECCParagraph"/>
      </w:pPr>
      <w:r w:rsidRPr="00ED7BE1">
        <w:t>The responders declared that they would use the following spectrum access mechanisms:</w:t>
      </w:r>
    </w:p>
    <w:p w:rsidR="009E51D5" w:rsidRPr="00ED7BE1" w:rsidRDefault="009E51D5" w:rsidP="009E51D5">
      <w:pPr>
        <w:ind w:left="360"/>
        <w:jc w:val="center"/>
        <w:rPr>
          <w:rFonts w:cs="Arial"/>
          <w:b/>
          <w:bCs/>
        </w:rPr>
      </w:pPr>
      <w:r>
        <w:rPr>
          <w:rFonts w:cs="Arial"/>
          <w:bCs/>
          <w:noProof/>
          <w:lang w:val="da-DK" w:eastAsia="da-DK"/>
        </w:rPr>
        <w:drawing>
          <wp:inline distT="0" distB="0" distL="0" distR="0" wp14:anchorId="718E2C72" wp14:editId="764BF9A3">
            <wp:extent cx="3822700" cy="1828800"/>
            <wp:effectExtent l="0" t="0" r="0" b="0"/>
            <wp:docPr id="17" name="Chart 1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9E51D5" w:rsidRPr="00ED7BE1" w:rsidRDefault="009E51D5" w:rsidP="009E51D5">
      <w:pPr>
        <w:pStyle w:val="Caption"/>
      </w:pPr>
      <w:r>
        <w:t xml:space="preserve">Figure </w:t>
      </w:r>
      <w:r>
        <w:fldChar w:fldCharType="begin"/>
      </w:r>
      <w:r>
        <w:instrText xml:space="preserve"> SEQ Figure \* ARABIC </w:instrText>
      </w:r>
      <w:r>
        <w:fldChar w:fldCharType="separate"/>
      </w:r>
      <w:r w:rsidR="001A06A7">
        <w:rPr>
          <w:noProof/>
        </w:rPr>
        <w:t>3</w:t>
      </w:r>
      <w:r>
        <w:fldChar w:fldCharType="end"/>
      </w:r>
      <w:r w:rsidRPr="00ED7BE1">
        <w:t>: Spectrum access mechanisms in use</w:t>
      </w:r>
    </w:p>
    <w:p w:rsidR="009E51D5" w:rsidRPr="00ED7BE1" w:rsidRDefault="009E51D5" w:rsidP="009E51D5">
      <w:pPr>
        <w:pStyle w:val="ECCParagraph"/>
      </w:pPr>
      <w:r w:rsidRPr="00ED7BE1">
        <w:t>Some answers included under &lt;other&gt; also combinations such as LBT + DC, or other access methods such as manual access. In addition, UHF RFID manufacturers either did not select a category at all, or selected either &lt;other&gt; or &lt;duty cycle&gt;. However, it</w:t>
      </w:r>
      <w:r>
        <w:t xml:space="preserve"> is </w:t>
      </w:r>
      <w:r w:rsidRPr="00ED7BE1">
        <w:t>clear from the answers that RFID manufacturers use the current 4- reader channel plan.</w:t>
      </w:r>
    </w:p>
    <w:p w:rsidR="009E51D5" w:rsidRPr="00ED7BE1" w:rsidRDefault="009E51D5" w:rsidP="009E51D5">
      <w:pPr>
        <w:pStyle w:val="ECCParagraph"/>
        <w:rPr>
          <w:b/>
        </w:rPr>
      </w:pPr>
      <w:r w:rsidRPr="00ED7BE1">
        <w:t>Nevertheless, the answers clearly show that using the duty cycle is the dominant access technology in the market which is used by metering, alarms and automotive applications to a great extent</w:t>
      </w:r>
      <w:r>
        <w:t>,</w:t>
      </w:r>
      <w:r w:rsidRPr="00ED7BE1">
        <w:t xml:space="preserve"> and almost exclusively. </w:t>
      </w:r>
    </w:p>
    <w:p w:rsidR="009E51D5" w:rsidRDefault="009E51D5" w:rsidP="009E51D5">
      <w:pPr>
        <w:pStyle w:val="ECCParagraph"/>
        <w:rPr>
          <w:rFonts w:cs="Arial"/>
          <w:bCs/>
          <w:sz w:val="22"/>
          <w:szCs w:val="22"/>
          <w:lang w:val="en-US"/>
        </w:rPr>
      </w:pPr>
      <w:r w:rsidRPr="00C84694">
        <w:t>The stated modulation schemes in the answers indicated that FSK, GFSK, MSK and GMSK modulations are by far the</w:t>
      </w:r>
      <w:r>
        <w:t xml:space="preserve"> most used modulation schemes (</w:t>
      </w:r>
      <w:r w:rsidRPr="00C84694">
        <w:t>greater than 50 of the respondents). ASK, PR-ASK, FM, AM were also mentioned several times</w:t>
      </w:r>
      <w:r w:rsidRPr="00ED7BE1">
        <w:rPr>
          <w:rFonts w:cs="Arial"/>
          <w:bCs/>
          <w:sz w:val="22"/>
          <w:szCs w:val="22"/>
          <w:lang w:val="en-US"/>
        </w:rPr>
        <w:t>.</w:t>
      </w:r>
    </w:p>
    <w:p w:rsidR="009E51D5" w:rsidRPr="00ED7BE1" w:rsidRDefault="009E51D5" w:rsidP="009E51D5">
      <w:pPr>
        <w:pStyle w:val="ECCParagraph"/>
      </w:pPr>
      <w:r w:rsidRPr="00ED7BE1">
        <w:t>Both narrowband (up to 25 kHz bandwidth) and wideband modulations are used in 863-870 MHz with the number of mention</w:t>
      </w:r>
      <w:r>
        <w:t xml:space="preserve">s shown below in </w:t>
      </w:r>
      <w:r>
        <w:fldChar w:fldCharType="begin"/>
      </w:r>
      <w:r>
        <w:instrText xml:space="preserve"> REF _Ref311470576 \h </w:instrText>
      </w:r>
      <w:r>
        <w:fldChar w:fldCharType="separate"/>
      </w:r>
      <w:r w:rsidR="001A06A7">
        <w:t xml:space="preserve">Figure </w:t>
      </w:r>
      <w:r w:rsidR="001A06A7">
        <w:rPr>
          <w:noProof/>
        </w:rPr>
        <w:t>4</w:t>
      </w:r>
      <w:r>
        <w:fldChar w:fldCharType="end"/>
      </w:r>
      <w:r>
        <w:t>.</w:t>
      </w:r>
    </w:p>
    <w:p w:rsidR="009E51D5" w:rsidRDefault="009E51D5" w:rsidP="009E51D5">
      <w:pPr>
        <w:pStyle w:val="Caption"/>
        <w:keepNext/>
      </w:pPr>
      <w:r>
        <w:rPr>
          <w:rFonts w:cs="Arial"/>
          <w:bCs w:val="0"/>
          <w:noProof/>
          <w:lang w:val="da-DK" w:eastAsia="da-DK"/>
        </w:rPr>
        <w:lastRenderedPageBreak/>
        <w:drawing>
          <wp:inline distT="0" distB="0" distL="0" distR="0" wp14:anchorId="5BB4D587" wp14:editId="43708ADD">
            <wp:extent cx="5067300" cy="2984500"/>
            <wp:effectExtent l="0" t="0" r="0" b="0"/>
            <wp:docPr id="18" name="Chart 1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9E51D5" w:rsidRDefault="009E51D5" w:rsidP="009E51D5">
      <w:pPr>
        <w:pStyle w:val="Caption"/>
        <w:keepNext/>
      </w:pPr>
      <w:bookmarkStart w:id="7" w:name="_Ref311470576"/>
      <w:r>
        <w:t xml:space="preserve">Figure </w:t>
      </w:r>
      <w:r>
        <w:fldChar w:fldCharType="begin"/>
      </w:r>
      <w:r>
        <w:instrText xml:space="preserve"> SEQ Figure \* ARABIC </w:instrText>
      </w:r>
      <w:r>
        <w:fldChar w:fldCharType="separate"/>
      </w:r>
      <w:r w:rsidR="001A06A7">
        <w:rPr>
          <w:noProof/>
        </w:rPr>
        <w:t>4</w:t>
      </w:r>
      <w:r>
        <w:fldChar w:fldCharType="end"/>
      </w:r>
      <w:bookmarkEnd w:id="7"/>
      <w:r w:rsidRPr="00ED7BE1">
        <w:t>: Modulation bandwidth used</w:t>
      </w:r>
    </w:p>
    <w:p w:rsidR="009E51D5" w:rsidRPr="00D00317" w:rsidRDefault="009E51D5" w:rsidP="00A472B6">
      <w:pPr>
        <w:pStyle w:val="Heading1"/>
      </w:pPr>
      <w:bookmarkStart w:id="8" w:name="_Toc311472692"/>
      <w:bookmarkStart w:id="9" w:name="_Toc323545846"/>
      <w:r>
        <w:lastRenderedPageBreak/>
        <w:t>D</w:t>
      </w:r>
      <w:r w:rsidRPr="00D00317">
        <w:t>e</w:t>
      </w:r>
      <w:r>
        <w:t>t</w:t>
      </w:r>
      <w:r w:rsidRPr="00D00317">
        <w:t>ai</w:t>
      </w:r>
      <w:r>
        <w:t>led questions</w:t>
      </w:r>
      <w:bookmarkEnd w:id="8"/>
      <w:bookmarkEnd w:id="9"/>
    </w:p>
    <w:p w:rsidR="009E51D5" w:rsidRPr="00BE2266" w:rsidRDefault="009E51D5" w:rsidP="009E51D5">
      <w:pPr>
        <w:pStyle w:val="ECCParagraph"/>
        <w:spacing w:after="0"/>
        <w:rPr>
          <w:b/>
        </w:rPr>
      </w:pPr>
      <w:r w:rsidRPr="00BE2266">
        <w:rPr>
          <w:b/>
        </w:rPr>
        <w:t>Question 5:</w:t>
      </w:r>
    </w:p>
    <w:p w:rsidR="009E51D5" w:rsidRDefault="009E51D5" w:rsidP="009E51D5">
      <w:pPr>
        <w:pStyle w:val="ECCParagraph"/>
        <w:spacing w:after="0"/>
        <w:rPr>
          <w:b/>
        </w:rPr>
      </w:pPr>
      <w:r w:rsidRPr="00BE2266">
        <w:rPr>
          <w:b/>
        </w:rPr>
        <w:t>Is the existing ERC/REC 70-03</w:t>
      </w:r>
      <w:r w:rsidR="00532580">
        <w:rPr>
          <w:b/>
        </w:rPr>
        <w:t xml:space="preserve"> </w:t>
      </w:r>
      <w:r w:rsidR="00532580">
        <w:rPr>
          <w:b/>
        </w:rPr>
        <w:fldChar w:fldCharType="begin"/>
      </w:r>
      <w:r w:rsidR="00532580">
        <w:rPr>
          <w:b/>
        </w:rPr>
        <w:instrText xml:space="preserve"> REF _Ref321997834 \r \h </w:instrText>
      </w:r>
      <w:r w:rsidR="00532580">
        <w:rPr>
          <w:b/>
        </w:rPr>
      </w:r>
      <w:r w:rsidR="00532580">
        <w:rPr>
          <w:b/>
        </w:rPr>
        <w:fldChar w:fldCharType="separate"/>
      </w:r>
      <w:r w:rsidR="001A06A7">
        <w:rPr>
          <w:b/>
        </w:rPr>
        <w:t>[1]</w:t>
      </w:r>
      <w:r w:rsidR="00532580">
        <w:rPr>
          <w:b/>
        </w:rPr>
        <w:fldChar w:fldCharType="end"/>
      </w:r>
      <w:r w:rsidRPr="00BE2266">
        <w:rPr>
          <w:b/>
        </w:rPr>
        <w:t xml:space="preserve"> Annex 1 easy to understand?</w:t>
      </w:r>
    </w:p>
    <w:p w:rsidR="009E51D5" w:rsidRPr="00BE2266" w:rsidRDefault="009E51D5" w:rsidP="009E51D5">
      <w:pPr>
        <w:pStyle w:val="ECCParagraph"/>
        <w:spacing w:after="0"/>
        <w:rPr>
          <w:b/>
        </w:rPr>
      </w:pPr>
    </w:p>
    <w:p w:rsidR="009E51D5" w:rsidRDefault="009E51D5" w:rsidP="009E51D5">
      <w:pPr>
        <w:pStyle w:val="ECCParagraph"/>
      </w:pPr>
      <w:r w:rsidRPr="00ED7BE1">
        <w:t xml:space="preserve">48 answers were given with YES representing roughly a 75% majority opinion. </w:t>
      </w:r>
    </w:p>
    <w:p w:rsidR="009E51D5" w:rsidRDefault="009E51D5" w:rsidP="009E51D5">
      <w:pPr>
        <w:jc w:val="center"/>
        <w:rPr>
          <w:rFonts w:cs="Arial"/>
          <w:b/>
          <w:bCs/>
        </w:rPr>
      </w:pPr>
    </w:p>
    <w:p w:rsidR="009E51D5" w:rsidRPr="00ED7BE1" w:rsidRDefault="009E51D5" w:rsidP="009E51D5">
      <w:pPr>
        <w:jc w:val="center"/>
        <w:rPr>
          <w:rFonts w:cs="Arial"/>
          <w:b/>
          <w:bCs/>
        </w:rPr>
      </w:pPr>
      <w:bookmarkStart w:id="10" w:name="_GoBack"/>
      <w:r>
        <w:rPr>
          <w:rFonts w:cs="Arial"/>
          <w:bCs/>
          <w:noProof/>
          <w:lang w:val="da-DK" w:eastAsia="da-DK"/>
        </w:rPr>
        <w:drawing>
          <wp:inline distT="0" distB="0" distL="0" distR="0" wp14:anchorId="4BFCCDC0" wp14:editId="3C6E1B10">
            <wp:extent cx="3098800" cy="1828800"/>
            <wp:effectExtent l="0" t="0" r="6350" b="0"/>
            <wp:docPr id="19" name="Chart 1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10"/>
    </w:p>
    <w:p w:rsidR="009E51D5" w:rsidRDefault="009E51D5" w:rsidP="009E51D5">
      <w:pPr>
        <w:pStyle w:val="Footer"/>
        <w:rPr>
          <w:b/>
        </w:rPr>
      </w:pPr>
    </w:p>
    <w:p w:rsidR="009E51D5" w:rsidRDefault="009E51D5" w:rsidP="009E51D5">
      <w:pPr>
        <w:pStyle w:val="Caption"/>
      </w:pPr>
      <w:r>
        <w:t xml:space="preserve">Figure </w:t>
      </w:r>
      <w:r>
        <w:fldChar w:fldCharType="begin"/>
      </w:r>
      <w:r>
        <w:instrText xml:space="preserve"> SEQ Figure \* ARABIC </w:instrText>
      </w:r>
      <w:r>
        <w:fldChar w:fldCharType="separate"/>
      </w:r>
      <w:r w:rsidR="001A06A7">
        <w:rPr>
          <w:noProof/>
        </w:rPr>
        <w:t>5</w:t>
      </w:r>
      <w:r>
        <w:fldChar w:fldCharType="end"/>
      </w:r>
      <w:r>
        <w:t>: ERC/REC 70-03</w:t>
      </w:r>
      <w:r w:rsidR="00532580">
        <w:t xml:space="preserve"> </w:t>
      </w:r>
      <w:r w:rsidR="00532580">
        <w:fldChar w:fldCharType="begin"/>
      </w:r>
      <w:r w:rsidR="00532580">
        <w:instrText xml:space="preserve"> REF _Ref321997834 \r \h </w:instrText>
      </w:r>
      <w:r w:rsidR="00532580">
        <w:fldChar w:fldCharType="separate"/>
      </w:r>
      <w:r w:rsidR="001A06A7">
        <w:t>[1]</w:t>
      </w:r>
      <w:r w:rsidR="00532580">
        <w:fldChar w:fldCharType="end"/>
      </w:r>
      <w:r>
        <w:t xml:space="preserve"> easy to understand?</w:t>
      </w:r>
    </w:p>
    <w:p w:rsidR="009E51D5" w:rsidRPr="00ED7BE1" w:rsidRDefault="009E51D5" w:rsidP="009E51D5">
      <w:pPr>
        <w:rPr>
          <w:rFonts w:cs="Arial"/>
          <w:bCs/>
        </w:rPr>
      </w:pPr>
    </w:p>
    <w:p w:rsidR="009E51D5" w:rsidRPr="00ED7BE1" w:rsidRDefault="009E51D5" w:rsidP="009E51D5">
      <w:pPr>
        <w:pStyle w:val="ECCParagraph"/>
        <w:spacing w:after="120"/>
        <w:rPr>
          <w:rFonts w:cs="Arial"/>
          <w:bCs/>
          <w:sz w:val="22"/>
          <w:szCs w:val="22"/>
        </w:rPr>
      </w:pPr>
      <w:r w:rsidRPr="00ED7BE1">
        <w:t>There have been points mentioned by those who stated NO which shows that there is room for improvements:</w:t>
      </w:r>
    </w:p>
    <w:p w:rsidR="009E51D5" w:rsidRPr="00ED7BE1" w:rsidRDefault="009E51D5" w:rsidP="00477344">
      <w:pPr>
        <w:pStyle w:val="ECCParBulleted"/>
        <w:numPr>
          <w:ilvl w:val="0"/>
          <w:numId w:val="43"/>
        </w:numPr>
        <w:spacing w:after="120"/>
      </w:pPr>
      <w:r w:rsidRPr="00ED7BE1">
        <w:t xml:space="preserve">there is some </w:t>
      </w:r>
      <w:r>
        <w:t xml:space="preserve">lack of clarity </w:t>
      </w:r>
      <w:r w:rsidRPr="00ED7BE1">
        <w:t xml:space="preserve">between EC/ECC decisions on one side, and the ERC/REC 70-03 </w:t>
      </w:r>
      <w:r w:rsidR="00532580">
        <w:fldChar w:fldCharType="begin"/>
      </w:r>
      <w:r w:rsidR="00532580">
        <w:instrText xml:space="preserve"> REF _Ref321997834 \r \h </w:instrText>
      </w:r>
      <w:r w:rsidR="00532580">
        <w:fldChar w:fldCharType="separate"/>
      </w:r>
      <w:r w:rsidR="001A06A7">
        <w:t>[1]</w:t>
      </w:r>
      <w:r w:rsidR="00532580">
        <w:fldChar w:fldCharType="end"/>
      </w:r>
      <w:r w:rsidR="00532580">
        <w:t xml:space="preserve"> </w:t>
      </w:r>
      <w:r w:rsidRPr="00ED7BE1">
        <w:t>on the other side;</w:t>
      </w:r>
    </w:p>
    <w:p w:rsidR="009E51D5" w:rsidRPr="00ED7BE1" w:rsidRDefault="009E51D5" w:rsidP="00477344">
      <w:pPr>
        <w:pStyle w:val="ECCParBulleted"/>
        <w:numPr>
          <w:ilvl w:val="0"/>
          <w:numId w:val="43"/>
        </w:numPr>
        <w:spacing w:after="120"/>
      </w:pPr>
      <w:r w:rsidRPr="00ED7BE1">
        <w:t>exact understanding of the access technologies needs to also look into ETSI EN 300</w:t>
      </w:r>
      <w:r w:rsidR="00532580">
        <w:t> </w:t>
      </w:r>
      <w:r w:rsidRPr="00ED7BE1">
        <w:t>220</w:t>
      </w:r>
      <w:r w:rsidR="00532580">
        <w:t xml:space="preserve"> </w:t>
      </w:r>
      <w:r w:rsidR="00532580">
        <w:fldChar w:fldCharType="begin"/>
      </w:r>
      <w:r w:rsidR="00532580">
        <w:instrText xml:space="preserve"> REF _Ref321997867 \r \h </w:instrText>
      </w:r>
      <w:r w:rsidR="00532580">
        <w:fldChar w:fldCharType="separate"/>
      </w:r>
      <w:r w:rsidR="001A06A7">
        <w:t>[2]</w:t>
      </w:r>
      <w:r w:rsidR="00532580">
        <w:fldChar w:fldCharType="end"/>
      </w:r>
      <w:r w:rsidRPr="00ED7BE1">
        <w:t>, i.e. ERC/REC 70-03</w:t>
      </w:r>
      <w:r w:rsidR="00532580">
        <w:t xml:space="preserve"> </w:t>
      </w:r>
      <w:r w:rsidR="00532580">
        <w:fldChar w:fldCharType="begin"/>
      </w:r>
      <w:r w:rsidR="00532580">
        <w:instrText xml:space="preserve"> REF _Ref321997834 \r \h </w:instrText>
      </w:r>
      <w:r w:rsidR="00532580">
        <w:fldChar w:fldCharType="separate"/>
      </w:r>
      <w:r w:rsidR="001A06A7">
        <w:t>[1]</w:t>
      </w:r>
      <w:r w:rsidR="00532580">
        <w:fldChar w:fldCharType="end"/>
      </w:r>
      <w:r w:rsidRPr="00ED7BE1">
        <w:t xml:space="preserve"> does not provide the full picture;</w:t>
      </w:r>
    </w:p>
    <w:p w:rsidR="009E51D5" w:rsidRPr="00ED7BE1" w:rsidRDefault="009E51D5" w:rsidP="00477344">
      <w:pPr>
        <w:pStyle w:val="ECCParBulleted"/>
        <w:numPr>
          <w:ilvl w:val="0"/>
          <w:numId w:val="43"/>
        </w:numPr>
        <w:spacing w:after="120"/>
      </w:pPr>
      <w:r w:rsidRPr="00ED7BE1">
        <w:t>annex 1 is very complex if one wants to use the whole 863-870 MHz band with LBT;</w:t>
      </w:r>
    </w:p>
    <w:p w:rsidR="009E51D5" w:rsidRPr="00ED7BE1" w:rsidRDefault="009E51D5" w:rsidP="00477344">
      <w:pPr>
        <w:pStyle w:val="ECCParBulleted"/>
        <w:numPr>
          <w:ilvl w:val="0"/>
          <w:numId w:val="43"/>
        </w:numPr>
        <w:spacing w:after="120"/>
      </w:pPr>
      <w:r w:rsidRPr="00ED7BE1">
        <w:t xml:space="preserve">difficult to read for </w:t>
      </w:r>
      <w:r>
        <w:t>external, i.e. non CEPT/ECC/ETSI experts</w:t>
      </w:r>
      <w:r w:rsidRPr="00ED7BE1">
        <w:t xml:space="preserve">; </w:t>
      </w:r>
    </w:p>
    <w:p w:rsidR="009E51D5" w:rsidRPr="00ED7BE1" w:rsidRDefault="009E51D5" w:rsidP="00477344">
      <w:pPr>
        <w:pStyle w:val="ECCParBulleted"/>
        <w:numPr>
          <w:ilvl w:val="0"/>
          <w:numId w:val="43"/>
        </w:numPr>
        <w:spacing w:after="120"/>
      </w:pPr>
      <w:r w:rsidRPr="00ED7BE1">
        <w:t>too many footnotes in annex 1;</w:t>
      </w:r>
    </w:p>
    <w:p w:rsidR="009E51D5" w:rsidRPr="00ED7BE1" w:rsidRDefault="009E51D5" w:rsidP="00477344">
      <w:pPr>
        <w:pStyle w:val="ECCParBulleted"/>
        <w:numPr>
          <w:ilvl w:val="0"/>
          <w:numId w:val="43"/>
        </w:numPr>
        <w:spacing w:after="120"/>
      </w:pPr>
      <w:r w:rsidRPr="00ED7BE1">
        <w:t>the rationale/background information is not included in ERC/REC 70-03</w:t>
      </w:r>
      <w:r w:rsidR="00532580">
        <w:t xml:space="preserve"> </w:t>
      </w:r>
      <w:r w:rsidR="00532580">
        <w:fldChar w:fldCharType="begin"/>
      </w:r>
      <w:r w:rsidR="00532580">
        <w:instrText xml:space="preserve"> REF _Ref321997834 \r \h </w:instrText>
      </w:r>
      <w:r w:rsidR="00532580">
        <w:fldChar w:fldCharType="separate"/>
      </w:r>
      <w:r w:rsidR="001A06A7">
        <w:t>[1]</w:t>
      </w:r>
      <w:r w:rsidR="00532580">
        <w:fldChar w:fldCharType="end"/>
      </w:r>
      <w:r w:rsidRPr="00ED7BE1">
        <w:t>;</w:t>
      </w:r>
    </w:p>
    <w:p w:rsidR="009E51D5" w:rsidRPr="00ED7BE1" w:rsidRDefault="009E51D5" w:rsidP="00477344">
      <w:pPr>
        <w:pStyle w:val="ECCParBulleted"/>
        <w:numPr>
          <w:ilvl w:val="0"/>
          <w:numId w:val="43"/>
        </w:numPr>
        <w:spacing w:after="120"/>
      </w:pPr>
      <w:r w:rsidRPr="00ED7BE1">
        <w:t>definitions are sometimes unclear;</w:t>
      </w:r>
    </w:p>
    <w:p w:rsidR="009E51D5" w:rsidRPr="00ED7BE1" w:rsidRDefault="009E51D5" w:rsidP="00477344">
      <w:pPr>
        <w:pStyle w:val="ECCParBulleted"/>
        <w:numPr>
          <w:ilvl w:val="0"/>
          <w:numId w:val="43"/>
        </w:numPr>
        <w:spacing w:after="120"/>
      </w:pPr>
      <w:r w:rsidRPr="00ED7BE1">
        <w:t>missing graphics;</w:t>
      </w:r>
    </w:p>
    <w:p w:rsidR="009E51D5" w:rsidRPr="00ED7BE1" w:rsidRDefault="009E51D5" w:rsidP="00477344">
      <w:pPr>
        <w:pStyle w:val="ECCParBulleted"/>
        <w:numPr>
          <w:ilvl w:val="0"/>
          <w:numId w:val="43"/>
        </w:numPr>
        <w:spacing w:after="120"/>
      </w:pPr>
      <w:r w:rsidRPr="00ED7BE1">
        <w:t>too many references and spectrum access combinations;</w:t>
      </w:r>
    </w:p>
    <w:p w:rsidR="009E51D5" w:rsidRPr="00ED7BE1" w:rsidRDefault="009E51D5" w:rsidP="00477344">
      <w:pPr>
        <w:pStyle w:val="ECCParBulleted"/>
        <w:numPr>
          <w:ilvl w:val="0"/>
          <w:numId w:val="43"/>
        </w:numPr>
        <w:spacing w:after="120"/>
      </w:pPr>
      <w:r w:rsidRPr="00ED7BE1">
        <w:t>difficult interpretations;</w:t>
      </w:r>
    </w:p>
    <w:p w:rsidR="009E51D5" w:rsidRPr="00ED7BE1" w:rsidRDefault="009E51D5" w:rsidP="00477344">
      <w:pPr>
        <w:pStyle w:val="ECCParBulleted"/>
        <w:numPr>
          <w:ilvl w:val="0"/>
          <w:numId w:val="43"/>
        </w:numPr>
        <w:spacing w:after="120"/>
      </w:pPr>
      <w:r w:rsidRPr="00ED7BE1">
        <w:t>lot of overlapping segmentation and constraints;</w:t>
      </w:r>
    </w:p>
    <w:p w:rsidR="009E51D5" w:rsidRPr="00ED7BE1" w:rsidRDefault="009E51D5" w:rsidP="00477344">
      <w:pPr>
        <w:pStyle w:val="ECCParBulleted"/>
        <w:numPr>
          <w:ilvl w:val="0"/>
          <w:numId w:val="43"/>
        </w:numPr>
        <w:spacing w:after="120"/>
      </w:pPr>
      <w:r>
        <w:t>d</w:t>
      </w:r>
      <w:r w:rsidRPr="00ED7BE1">
        <w:t xml:space="preserve">evelopments in ERC/REC 70-03 </w:t>
      </w:r>
      <w:r w:rsidR="00532580">
        <w:fldChar w:fldCharType="begin"/>
      </w:r>
      <w:r w:rsidR="00532580">
        <w:instrText xml:space="preserve"> REF _Ref321997834 \r \h </w:instrText>
      </w:r>
      <w:r w:rsidR="00532580">
        <w:fldChar w:fldCharType="separate"/>
      </w:r>
      <w:r w:rsidR="001A06A7">
        <w:t>[1]</w:t>
      </w:r>
      <w:r w:rsidR="00532580">
        <w:fldChar w:fldCharType="end"/>
      </w:r>
      <w:r w:rsidRPr="00ED7BE1">
        <w:t xml:space="preserve"> in recent years led to more specific regulations and has increased complexity, especially in annex 1 of ERC-REC 70-03</w:t>
      </w:r>
      <w:r w:rsidR="00532580">
        <w:t xml:space="preserve"> </w:t>
      </w:r>
      <w:r w:rsidR="00532580">
        <w:fldChar w:fldCharType="begin"/>
      </w:r>
      <w:r w:rsidR="00532580">
        <w:instrText xml:space="preserve"> REF _Ref321997834 \r \h </w:instrText>
      </w:r>
      <w:r w:rsidR="00532580">
        <w:fldChar w:fldCharType="separate"/>
      </w:r>
      <w:r w:rsidR="001A06A7">
        <w:t>[1]</w:t>
      </w:r>
      <w:r w:rsidR="00532580">
        <w:fldChar w:fldCharType="end"/>
      </w:r>
      <w:r w:rsidRPr="00ED7BE1">
        <w:t>;</w:t>
      </w:r>
    </w:p>
    <w:p w:rsidR="009E51D5" w:rsidRPr="00ED7BE1" w:rsidRDefault="009E51D5" w:rsidP="00477344">
      <w:pPr>
        <w:pStyle w:val="ECCParBulleted"/>
        <w:numPr>
          <w:ilvl w:val="0"/>
          <w:numId w:val="43"/>
        </w:numPr>
        <w:spacing w:after="120"/>
      </w:pPr>
      <w:r w:rsidRPr="00ED7BE1">
        <w:t>if a specific frequenc</w:t>
      </w:r>
      <w:r>
        <w:t>y band is used through more than</w:t>
      </w:r>
      <w:r w:rsidRPr="00ED7BE1">
        <w:t xml:space="preserve"> one ERC/REC</w:t>
      </w:r>
      <w:r w:rsidR="004B184C">
        <w:t xml:space="preserve"> </w:t>
      </w:r>
      <w:r w:rsidRPr="00ED7BE1">
        <w:t>70-03</w:t>
      </w:r>
      <w:r w:rsidR="00532580">
        <w:t xml:space="preserve"> </w:t>
      </w:r>
      <w:r w:rsidR="00532580">
        <w:fldChar w:fldCharType="begin"/>
      </w:r>
      <w:r w:rsidR="00532580">
        <w:instrText xml:space="preserve"> REF _Ref321997834 \r \h </w:instrText>
      </w:r>
      <w:r w:rsidR="00532580">
        <w:fldChar w:fldCharType="separate"/>
      </w:r>
      <w:r w:rsidR="001A06A7">
        <w:t>[1]</w:t>
      </w:r>
      <w:r w:rsidR="00532580">
        <w:fldChar w:fldCharType="end"/>
      </w:r>
      <w:r w:rsidRPr="00ED7BE1">
        <w:t xml:space="preserve"> annex (i.e. family application) it is important to man</w:t>
      </w:r>
      <w:r>
        <w:t>a</w:t>
      </w:r>
      <w:r w:rsidRPr="00ED7BE1">
        <w:t>ge a cross reading;</w:t>
      </w:r>
    </w:p>
    <w:p w:rsidR="009E51D5" w:rsidRPr="00BE2266" w:rsidRDefault="009E51D5" w:rsidP="00477344">
      <w:pPr>
        <w:pStyle w:val="ECCParBulleted"/>
        <w:numPr>
          <w:ilvl w:val="0"/>
          <w:numId w:val="43"/>
        </w:numPr>
        <w:spacing w:after="120"/>
      </w:pPr>
      <w:r w:rsidRPr="00ED7BE1">
        <w:t>it was not at all easy for digital communications where one protocol carry</w:t>
      </w:r>
      <w:r>
        <w:t xml:space="preserve"> </w:t>
      </w:r>
      <w:r w:rsidRPr="007B0293">
        <w:rPr>
          <w:lang w:val="fr-FR"/>
        </w:rPr>
        <w:t>multiple applications (voice, pictures, signals etc).</w:t>
      </w:r>
    </w:p>
    <w:p w:rsidR="009E51D5" w:rsidRPr="007B0293" w:rsidRDefault="009E51D5" w:rsidP="009E51D5">
      <w:pPr>
        <w:pStyle w:val="ECCParBulleted"/>
        <w:numPr>
          <w:ilvl w:val="0"/>
          <w:numId w:val="0"/>
        </w:numPr>
        <w:spacing w:after="120"/>
        <w:ind w:left="340" w:hanging="340"/>
      </w:pPr>
    </w:p>
    <w:tbl>
      <w:tblPr>
        <w:tblW w:w="0" w:type="auto"/>
        <w:tblBorders>
          <w:top w:val="single" w:sz="4" w:space="0" w:color="D2232A"/>
          <w:left w:val="single" w:sz="4" w:space="0" w:color="D2232A"/>
          <w:bottom w:val="single" w:sz="4" w:space="0" w:color="D2232A"/>
          <w:right w:val="single" w:sz="4" w:space="0" w:color="D2232A"/>
          <w:insideH w:val="single" w:sz="4" w:space="0" w:color="D2232A"/>
          <w:insideV w:val="single" w:sz="4" w:space="0" w:color="D2232A"/>
        </w:tblBorders>
        <w:tblCellMar>
          <w:top w:w="11" w:type="dxa"/>
          <w:bottom w:w="11" w:type="dxa"/>
        </w:tblCellMar>
        <w:tblLook w:val="01E0" w:firstRow="1" w:lastRow="1" w:firstColumn="1" w:lastColumn="1" w:noHBand="0" w:noVBand="0"/>
      </w:tblPr>
      <w:tblGrid>
        <w:gridCol w:w="9855"/>
      </w:tblGrid>
      <w:tr w:rsidR="009E51D5" w:rsidRPr="00D00317" w:rsidTr="009E51D5">
        <w:trPr>
          <w:tblHeader/>
        </w:trPr>
        <w:tc>
          <w:tcPr>
            <w:tcW w:w="9855" w:type="dxa"/>
            <w:shd w:val="clear" w:color="auto" w:fill="D2232A"/>
            <w:vAlign w:val="center"/>
          </w:tcPr>
          <w:p w:rsidR="009E51D5" w:rsidRPr="00D00317" w:rsidRDefault="009E51D5" w:rsidP="008F612F">
            <w:pPr>
              <w:keepNext/>
              <w:spacing w:line="288" w:lineRule="auto"/>
              <w:jc w:val="center"/>
              <w:rPr>
                <w:b/>
                <w:color w:val="FFFFFF"/>
                <w:lang w:val="en-GB"/>
              </w:rPr>
            </w:pPr>
            <w:r>
              <w:rPr>
                <w:b/>
                <w:color w:val="FFFFFF"/>
                <w:lang w:val="en-GB"/>
              </w:rPr>
              <w:lastRenderedPageBreak/>
              <w:t>Assessment</w:t>
            </w:r>
          </w:p>
        </w:tc>
      </w:tr>
      <w:tr w:rsidR="009E51D5" w:rsidRPr="00D00317" w:rsidTr="009E51D5">
        <w:tc>
          <w:tcPr>
            <w:tcW w:w="9855" w:type="dxa"/>
            <w:vAlign w:val="center"/>
          </w:tcPr>
          <w:p w:rsidR="009E51D5" w:rsidRPr="00D00317" w:rsidRDefault="009E51D5" w:rsidP="008F612F">
            <w:pPr>
              <w:pStyle w:val="ECCParagraph"/>
              <w:keepNext/>
            </w:pPr>
            <w:r>
              <w:t xml:space="preserve">Removal of footnotes was subject to criticism from many. Change of the annex format to landscape is necessary. </w:t>
            </w:r>
            <w:r w:rsidRPr="00332FBB">
              <w:t xml:space="preserve">Possibility of removal was demonstrated in the RIS format exercise for Annex 1. </w:t>
            </w:r>
            <w:r w:rsidR="004940CA">
              <w:t>It was</w:t>
            </w:r>
            <w:r w:rsidRPr="00332FBB">
              <w:t xml:space="preserve"> decided to remove footnotes and to add illustrations where appropriate</w:t>
            </w:r>
            <w:r>
              <w:t>.</w:t>
            </w:r>
          </w:p>
        </w:tc>
      </w:tr>
    </w:tbl>
    <w:p w:rsidR="009E51D5" w:rsidRPr="00BE2266" w:rsidRDefault="009E51D5" w:rsidP="009E51D5">
      <w:pPr>
        <w:pStyle w:val="ECCParagraph"/>
        <w:spacing w:after="0"/>
        <w:rPr>
          <w:b/>
        </w:rPr>
      </w:pPr>
    </w:p>
    <w:p w:rsidR="009E51D5" w:rsidRPr="00BE2266" w:rsidRDefault="009E51D5" w:rsidP="009E51D5">
      <w:pPr>
        <w:pStyle w:val="ECCParagraph"/>
        <w:spacing w:after="0"/>
        <w:rPr>
          <w:b/>
        </w:rPr>
      </w:pPr>
      <w:r w:rsidRPr="00BE2266">
        <w:rPr>
          <w:b/>
        </w:rPr>
        <w:t>Question 6:</w:t>
      </w:r>
    </w:p>
    <w:p w:rsidR="009E51D5" w:rsidRDefault="009E51D5" w:rsidP="009E51D5">
      <w:pPr>
        <w:pStyle w:val="ECCParagraph"/>
        <w:spacing w:after="0"/>
        <w:rPr>
          <w:b/>
        </w:rPr>
      </w:pPr>
      <w:r w:rsidRPr="00BE2266">
        <w:rPr>
          <w:b/>
        </w:rPr>
        <w:t>Do the existing 863-870 MHz regulations suit your application(s)?</w:t>
      </w:r>
    </w:p>
    <w:p w:rsidR="009E51D5" w:rsidRPr="00195FFB" w:rsidRDefault="009E51D5" w:rsidP="009E51D5">
      <w:pPr>
        <w:pStyle w:val="ECCParagraph"/>
        <w:spacing w:after="0"/>
      </w:pPr>
    </w:p>
    <w:p w:rsidR="009E51D5" w:rsidRPr="00195FFB" w:rsidRDefault="009E51D5" w:rsidP="009E51D5">
      <w:pPr>
        <w:pStyle w:val="ECCParagraph"/>
      </w:pPr>
      <w:r w:rsidRPr="00195FFB">
        <w:t>40 answers were given with YES.</w:t>
      </w:r>
    </w:p>
    <w:p w:rsidR="009E51D5" w:rsidRPr="00ED7BE1" w:rsidRDefault="009E51D5" w:rsidP="009E51D5">
      <w:pPr>
        <w:jc w:val="center"/>
        <w:rPr>
          <w:rFonts w:cs="Arial"/>
          <w:b/>
          <w:bCs/>
        </w:rPr>
      </w:pPr>
      <w:r>
        <w:rPr>
          <w:rFonts w:cs="Arial"/>
          <w:bCs/>
          <w:noProof/>
          <w:lang w:val="da-DK" w:eastAsia="da-DK"/>
        </w:rPr>
        <w:drawing>
          <wp:inline distT="0" distB="0" distL="0" distR="0" wp14:anchorId="67110642" wp14:editId="1329FCD4">
            <wp:extent cx="3098800" cy="1828800"/>
            <wp:effectExtent l="0" t="0" r="0" b="0"/>
            <wp:docPr id="20" name="Chart 2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9E51D5" w:rsidRDefault="009E51D5" w:rsidP="009E51D5">
      <w:pPr>
        <w:pStyle w:val="Footer"/>
        <w:rPr>
          <w:b/>
        </w:rPr>
      </w:pPr>
    </w:p>
    <w:p w:rsidR="009E51D5" w:rsidRPr="00ED7BE1" w:rsidRDefault="009E51D5" w:rsidP="009E51D5">
      <w:pPr>
        <w:pStyle w:val="Caption"/>
      </w:pPr>
      <w:r>
        <w:t xml:space="preserve">Figure </w:t>
      </w:r>
      <w:r>
        <w:fldChar w:fldCharType="begin"/>
      </w:r>
      <w:r>
        <w:instrText xml:space="preserve"> SEQ Figure \* ARABIC </w:instrText>
      </w:r>
      <w:r>
        <w:fldChar w:fldCharType="separate"/>
      </w:r>
      <w:r w:rsidR="001A06A7">
        <w:rPr>
          <w:noProof/>
        </w:rPr>
        <w:t>6</w:t>
      </w:r>
      <w:r>
        <w:fldChar w:fldCharType="end"/>
      </w:r>
      <w:r w:rsidRPr="00ED7BE1">
        <w:t>: Satisfaction with the current regulations</w:t>
      </w:r>
    </w:p>
    <w:p w:rsidR="009E51D5" w:rsidRPr="00ED7BE1" w:rsidRDefault="009E51D5" w:rsidP="009E51D5">
      <w:pPr>
        <w:pStyle w:val="ECCParagraph"/>
      </w:pPr>
      <w:r w:rsidRPr="00ED7BE1">
        <w:t xml:space="preserve">There seems to be </w:t>
      </w:r>
      <w:r>
        <w:t xml:space="preserve">a </w:t>
      </w:r>
      <w:r w:rsidRPr="00ED7BE1">
        <w:t>quite reasonable balance between all regulated application families. The positive responses saw mainly that reliable operations are quite ensured by sharing compatibility ECC studies, inclusive of SRDs intra-sharing.</w:t>
      </w:r>
    </w:p>
    <w:p w:rsidR="009E51D5" w:rsidRPr="00ED7BE1" w:rsidRDefault="009E51D5" w:rsidP="009E51D5">
      <w:pPr>
        <w:pStyle w:val="ECCParagraph"/>
        <w:spacing w:after="120"/>
        <w:rPr>
          <w:rFonts w:cs="Arial"/>
          <w:bCs/>
          <w:lang w:val="en-US"/>
        </w:rPr>
      </w:pPr>
      <w:r w:rsidRPr="00ED7BE1">
        <w:rPr>
          <w:rFonts w:cs="Arial"/>
          <w:bCs/>
          <w:lang w:val="en-US"/>
        </w:rPr>
        <w:t>Reasons for indicating NO have been stated as follows:</w:t>
      </w:r>
    </w:p>
    <w:p w:rsidR="009E51D5" w:rsidRPr="00ED7BE1" w:rsidRDefault="009E51D5" w:rsidP="008F612F">
      <w:pPr>
        <w:pStyle w:val="ECCParBulleted"/>
        <w:numPr>
          <w:ilvl w:val="1"/>
          <w:numId w:val="33"/>
        </w:numPr>
        <w:spacing w:after="120"/>
      </w:pPr>
      <w:r w:rsidRPr="00ED7BE1">
        <w:t>more power/operating range needed for alarms;</w:t>
      </w:r>
    </w:p>
    <w:p w:rsidR="009E51D5" w:rsidRPr="00ED7BE1" w:rsidRDefault="009E51D5" w:rsidP="008F612F">
      <w:pPr>
        <w:pStyle w:val="ECCParBulleted"/>
        <w:numPr>
          <w:ilvl w:val="1"/>
          <w:numId w:val="33"/>
        </w:numPr>
        <w:spacing w:after="120"/>
      </w:pPr>
      <w:r w:rsidRPr="00ED7BE1">
        <w:t>more power/bandwidth needed for RFID;</w:t>
      </w:r>
    </w:p>
    <w:p w:rsidR="009E51D5" w:rsidRPr="00ED7BE1" w:rsidRDefault="009E51D5" w:rsidP="008F612F">
      <w:pPr>
        <w:pStyle w:val="ECCParBulleted"/>
        <w:numPr>
          <w:ilvl w:val="1"/>
          <w:numId w:val="33"/>
        </w:numPr>
        <w:spacing w:after="120"/>
      </w:pPr>
      <w:r w:rsidRPr="00ED7BE1">
        <w:t>more power/operating range for smart metering;</w:t>
      </w:r>
    </w:p>
    <w:p w:rsidR="009E51D5" w:rsidRPr="00ED7BE1" w:rsidRDefault="009E51D5" w:rsidP="008F612F">
      <w:pPr>
        <w:pStyle w:val="ECCParBulleted"/>
        <w:numPr>
          <w:ilvl w:val="1"/>
          <w:numId w:val="33"/>
        </w:numPr>
        <w:spacing w:after="120"/>
      </w:pPr>
      <w:r w:rsidRPr="00ED7BE1">
        <w:t>a dedicated/ individual band for smart metering needed;</w:t>
      </w:r>
    </w:p>
    <w:p w:rsidR="009E51D5" w:rsidRPr="00ED7BE1" w:rsidRDefault="009E51D5" w:rsidP="008F612F">
      <w:pPr>
        <w:pStyle w:val="ECCParBulleted"/>
        <w:numPr>
          <w:ilvl w:val="1"/>
          <w:numId w:val="33"/>
        </w:numPr>
        <w:spacing w:after="120"/>
      </w:pPr>
      <w:r w:rsidRPr="00ED7BE1">
        <w:t>too small bandwidth, esp. for wideband application &gt; 300 kHz BW;</w:t>
      </w:r>
    </w:p>
    <w:p w:rsidR="009E51D5" w:rsidRPr="00ED7BE1" w:rsidRDefault="009E51D5" w:rsidP="008F612F">
      <w:pPr>
        <w:pStyle w:val="ECCParBulleted"/>
        <w:numPr>
          <w:ilvl w:val="1"/>
          <w:numId w:val="33"/>
        </w:numPr>
        <w:spacing w:after="120"/>
      </w:pPr>
      <w:r w:rsidRPr="00ED7BE1">
        <w:t>too much segmentation;</w:t>
      </w:r>
    </w:p>
    <w:p w:rsidR="009E51D5" w:rsidRPr="00ED7BE1" w:rsidRDefault="009E51D5" w:rsidP="008F612F">
      <w:pPr>
        <w:pStyle w:val="ECCParBulleted"/>
        <w:numPr>
          <w:ilvl w:val="1"/>
          <w:numId w:val="33"/>
        </w:numPr>
        <w:spacing w:after="120"/>
      </w:pPr>
      <w:r w:rsidRPr="00ED7BE1">
        <w:t>4 RFID reader channels was insufficient;</w:t>
      </w:r>
    </w:p>
    <w:p w:rsidR="009E51D5" w:rsidRPr="00ED7BE1" w:rsidRDefault="009E51D5" w:rsidP="008F612F">
      <w:pPr>
        <w:pStyle w:val="ECCParBulleted"/>
        <w:numPr>
          <w:ilvl w:val="1"/>
          <w:numId w:val="33"/>
        </w:numPr>
        <w:spacing w:after="120"/>
      </w:pPr>
      <w:r w:rsidRPr="00ED7BE1">
        <w:t>RFID tags: too far away in frequency from US and other countries;</w:t>
      </w:r>
    </w:p>
    <w:p w:rsidR="009E51D5" w:rsidRPr="00ED7BE1" w:rsidRDefault="009E51D5" w:rsidP="008F612F">
      <w:pPr>
        <w:pStyle w:val="ECCParBulleted"/>
        <w:numPr>
          <w:ilvl w:val="1"/>
          <w:numId w:val="33"/>
        </w:numPr>
        <w:spacing w:after="120"/>
      </w:pPr>
      <w:r w:rsidRPr="00ED7BE1">
        <w:t>band does not fit future increasing spectrum demand and/or safety aspects (automotive, alarms);</w:t>
      </w:r>
    </w:p>
    <w:p w:rsidR="009E51D5" w:rsidRPr="00ED7BE1" w:rsidRDefault="009E51D5" w:rsidP="008F612F">
      <w:pPr>
        <w:pStyle w:val="ECCParBulleted"/>
        <w:numPr>
          <w:ilvl w:val="1"/>
          <w:numId w:val="33"/>
        </w:numPr>
        <w:spacing w:after="120"/>
      </w:pPr>
      <w:r w:rsidRPr="00ED7BE1">
        <w:t xml:space="preserve">need for new provisions to take into account meshed networks; </w:t>
      </w:r>
    </w:p>
    <w:p w:rsidR="009E51D5" w:rsidRPr="00ED7BE1" w:rsidRDefault="009E51D5" w:rsidP="008F612F">
      <w:pPr>
        <w:pStyle w:val="ECCParBulleted"/>
        <w:numPr>
          <w:ilvl w:val="1"/>
          <w:numId w:val="33"/>
        </w:numPr>
        <w:spacing w:after="120"/>
      </w:pPr>
      <w:r w:rsidRPr="00ED7BE1">
        <w:t>more 100% DC spectrum needed for industrial applications;</w:t>
      </w:r>
    </w:p>
    <w:p w:rsidR="009E51D5" w:rsidRPr="00ED7BE1" w:rsidRDefault="009E51D5" w:rsidP="008F612F">
      <w:pPr>
        <w:pStyle w:val="ECCParBulleted"/>
        <w:numPr>
          <w:ilvl w:val="1"/>
          <w:numId w:val="33"/>
        </w:numPr>
        <w:spacing w:after="120"/>
      </w:pPr>
      <w:r w:rsidRPr="00ED7BE1">
        <w:t xml:space="preserve">potential collision of simple devices (with Duty cycle) with LBT/AFA devices having a long channel occupation; </w:t>
      </w:r>
    </w:p>
    <w:p w:rsidR="009E51D5" w:rsidRPr="00ED7BE1" w:rsidRDefault="009E51D5" w:rsidP="008F612F">
      <w:pPr>
        <w:pStyle w:val="ECCParBulleted"/>
        <w:numPr>
          <w:ilvl w:val="1"/>
          <w:numId w:val="33"/>
        </w:numPr>
        <w:spacing w:after="120"/>
      </w:pPr>
      <w:r w:rsidRPr="00ED7BE1">
        <w:t xml:space="preserve">home applications, like wireless sensor networks, cannot meet all their spectrum need with the current regulation; </w:t>
      </w:r>
    </w:p>
    <w:p w:rsidR="009E51D5" w:rsidRPr="00ED7BE1" w:rsidRDefault="009E51D5" w:rsidP="008F612F">
      <w:pPr>
        <w:pStyle w:val="ECCParBulleted"/>
        <w:numPr>
          <w:ilvl w:val="1"/>
          <w:numId w:val="33"/>
        </w:numPr>
        <w:spacing w:after="120"/>
      </w:pPr>
      <w:r>
        <w:t>f</w:t>
      </w:r>
      <w:r w:rsidRPr="00ED7BE1">
        <w:t xml:space="preserve">or application needing “longer ranges” (200 – 500m) 25 dBm </w:t>
      </w:r>
      <w:r w:rsidR="004B184C">
        <w:t>e.i.r.p.</w:t>
      </w:r>
      <w:r w:rsidRPr="00ED7BE1">
        <w:t xml:space="preserve"> limits is too low, and the 500 mW band is too narrow; </w:t>
      </w:r>
    </w:p>
    <w:p w:rsidR="009E51D5" w:rsidRDefault="009E51D5" w:rsidP="008F612F">
      <w:pPr>
        <w:pStyle w:val="ECCParBulleted"/>
        <w:numPr>
          <w:ilvl w:val="1"/>
          <w:numId w:val="33"/>
        </w:numPr>
        <w:spacing w:after="120"/>
      </w:pPr>
      <w:r w:rsidRPr="00ED7BE1">
        <w:t xml:space="preserve">Wideband modulation (FHSS, DSSS) very difficult to use in an efficient manner. </w:t>
      </w:r>
    </w:p>
    <w:tbl>
      <w:tblPr>
        <w:tblW w:w="0" w:type="auto"/>
        <w:tblBorders>
          <w:top w:val="single" w:sz="4" w:space="0" w:color="D2232A"/>
          <w:left w:val="single" w:sz="4" w:space="0" w:color="D2232A"/>
          <w:bottom w:val="single" w:sz="4" w:space="0" w:color="D2232A"/>
          <w:right w:val="single" w:sz="4" w:space="0" w:color="D2232A"/>
          <w:insideH w:val="single" w:sz="4" w:space="0" w:color="D2232A"/>
          <w:insideV w:val="single" w:sz="4" w:space="0" w:color="D2232A"/>
        </w:tblBorders>
        <w:tblCellMar>
          <w:top w:w="11" w:type="dxa"/>
          <w:bottom w:w="11" w:type="dxa"/>
        </w:tblCellMar>
        <w:tblLook w:val="01E0" w:firstRow="1" w:lastRow="1" w:firstColumn="1" w:lastColumn="1" w:noHBand="0" w:noVBand="0"/>
      </w:tblPr>
      <w:tblGrid>
        <w:gridCol w:w="9855"/>
      </w:tblGrid>
      <w:tr w:rsidR="009E51D5" w:rsidRPr="00D00317" w:rsidTr="009E51D5">
        <w:trPr>
          <w:tblHeader/>
        </w:trPr>
        <w:tc>
          <w:tcPr>
            <w:tcW w:w="9855" w:type="dxa"/>
            <w:shd w:val="clear" w:color="auto" w:fill="D2232A"/>
            <w:vAlign w:val="center"/>
          </w:tcPr>
          <w:p w:rsidR="009E51D5" w:rsidRPr="00D00317" w:rsidRDefault="009E51D5" w:rsidP="00477344">
            <w:pPr>
              <w:keepNext/>
              <w:spacing w:line="288" w:lineRule="auto"/>
              <w:jc w:val="center"/>
              <w:rPr>
                <w:b/>
                <w:color w:val="FFFFFF"/>
                <w:lang w:val="en-GB"/>
              </w:rPr>
            </w:pPr>
            <w:r>
              <w:rPr>
                <w:b/>
                <w:color w:val="FFFFFF"/>
                <w:lang w:val="en-GB"/>
              </w:rPr>
              <w:lastRenderedPageBreak/>
              <w:t>Assessment</w:t>
            </w:r>
          </w:p>
        </w:tc>
      </w:tr>
      <w:tr w:rsidR="009E51D5" w:rsidRPr="00D00317" w:rsidTr="009E51D5">
        <w:tc>
          <w:tcPr>
            <w:tcW w:w="9855" w:type="dxa"/>
            <w:vAlign w:val="center"/>
          </w:tcPr>
          <w:p w:rsidR="009E51D5" w:rsidRPr="00332FBB" w:rsidRDefault="009E51D5" w:rsidP="00477344">
            <w:pPr>
              <w:pStyle w:val="ECCParagraph"/>
              <w:keepNext/>
            </w:pPr>
            <w:r w:rsidRPr="00332FBB">
              <w:t xml:space="preserve">There seems to be a quite reasonable balance between all regulated application families. However, some voices from industry request more bandwidth or power. Answers to </w:t>
            </w:r>
            <w:r w:rsidRPr="00E41D61">
              <w:rPr>
                <w:b/>
              </w:rPr>
              <w:t>questions 1 and 3</w:t>
            </w:r>
            <w:r w:rsidRPr="00332FBB">
              <w:t xml:space="preserve"> also clearly indicate the dominance of DC as the low-cost, simple and energy efficient spectrum access method. </w:t>
            </w:r>
            <w:r w:rsidR="004940CA">
              <w:t>D</w:t>
            </w:r>
            <w:r w:rsidRPr="00332FBB">
              <w:t>iscuss a better utilisation of (an improved) LBT+AFA (DAA) medium access and maximising intra-SRD sharing in order to optimise the use of the existing spectrum available for SRD usage.</w:t>
            </w:r>
          </w:p>
        </w:tc>
      </w:tr>
    </w:tbl>
    <w:p w:rsidR="009E51D5" w:rsidRDefault="009E51D5" w:rsidP="009E51D5">
      <w:pPr>
        <w:pStyle w:val="ECCParagraph"/>
        <w:keepLines/>
        <w:spacing w:after="0"/>
        <w:rPr>
          <w:b/>
        </w:rPr>
      </w:pPr>
    </w:p>
    <w:p w:rsidR="009E51D5" w:rsidRPr="00E41D61" w:rsidRDefault="009E51D5" w:rsidP="009E51D5">
      <w:pPr>
        <w:pStyle w:val="ECCParagraph"/>
        <w:keepLines/>
        <w:spacing w:after="0"/>
        <w:rPr>
          <w:b/>
        </w:rPr>
      </w:pPr>
      <w:r w:rsidRPr="00E41D61">
        <w:rPr>
          <w:b/>
        </w:rPr>
        <w:t>Question 7:</w:t>
      </w:r>
    </w:p>
    <w:p w:rsidR="009E51D5" w:rsidRDefault="009E51D5" w:rsidP="009E51D5">
      <w:pPr>
        <w:pStyle w:val="ECCParagraph"/>
        <w:keepLines/>
        <w:spacing w:after="0"/>
        <w:rPr>
          <w:b/>
        </w:rPr>
      </w:pPr>
      <w:r w:rsidRPr="00E41D61">
        <w:rPr>
          <w:b/>
        </w:rPr>
        <w:t>Do the existing spectrum access techniques (FHSS, DSSS, LBT, DC, etc), for the use of the frequency band 863-870 MHz; suit your application(s)?</w:t>
      </w:r>
    </w:p>
    <w:p w:rsidR="009E51D5" w:rsidRPr="00E41D61" w:rsidRDefault="009E51D5" w:rsidP="009E51D5">
      <w:pPr>
        <w:pStyle w:val="ECCParagraph"/>
        <w:keepLines/>
        <w:spacing w:after="0"/>
        <w:rPr>
          <w:b/>
        </w:rPr>
      </w:pPr>
    </w:p>
    <w:p w:rsidR="009E51D5" w:rsidRPr="00ED7BE1" w:rsidRDefault="009E51D5" w:rsidP="009E51D5">
      <w:pPr>
        <w:pStyle w:val="ECCParagraph"/>
      </w:pPr>
      <w:r w:rsidRPr="00ED7BE1">
        <w:t>FHSS</w:t>
      </w:r>
    </w:p>
    <w:p w:rsidR="009E51D5" w:rsidRPr="00ED7BE1" w:rsidRDefault="009E51D5" w:rsidP="009E51D5">
      <w:pPr>
        <w:pStyle w:val="ECCParagraph"/>
      </w:pPr>
      <w:r w:rsidRPr="00ED7BE1">
        <w:t>35 responders stated NO.</w:t>
      </w:r>
    </w:p>
    <w:p w:rsidR="009E51D5" w:rsidRPr="00ED7BE1" w:rsidRDefault="009E51D5" w:rsidP="009E51D5">
      <w:pPr>
        <w:jc w:val="center"/>
        <w:rPr>
          <w:rFonts w:cs="Arial"/>
          <w:bCs/>
        </w:rPr>
      </w:pPr>
      <w:r>
        <w:rPr>
          <w:rFonts w:cs="Arial"/>
          <w:bCs/>
          <w:noProof/>
          <w:lang w:val="da-DK" w:eastAsia="da-DK"/>
        </w:rPr>
        <w:drawing>
          <wp:inline distT="0" distB="0" distL="0" distR="0" wp14:anchorId="4CD5053D" wp14:editId="2336E627">
            <wp:extent cx="3098800" cy="1828800"/>
            <wp:effectExtent l="0" t="0" r="0" b="0"/>
            <wp:docPr id="21" name="Chart 2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9E51D5" w:rsidRDefault="009E51D5" w:rsidP="009E51D5">
      <w:pPr>
        <w:pStyle w:val="Footer"/>
        <w:rPr>
          <w:b/>
          <w:sz w:val="22"/>
          <w:szCs w:val="22"/>
        </w:rPr>
      </w:pPr>
    </w:p>
    <w:p w:rsidR="009E51D5" w:rsidRPr="00ED7BE1" w:rsidRDefault="009E51D5" w:rsidP="009E51D5">
      <w:pPr>
        <w:pStyle w:val="Caption"/>
      </w:pPr>
      <w:r>
        <w:t xml:space="preserve">Figure </w:t>
      </w:r>
      <w:r>
        <w:fldChar w:fldCharType="begin"/>
      </w:r>
      <w:r>
        <w:instrText xml:space="preserve"> SEQ Figure \* ARABIC </w:instrText>
      </w:r>
      <w:r>
        <w:fldChar w:fldCharType="separate"/>
      </w:r>
      <w:r w:rsidR="001A06A7">
        <w:rPr>
          <w:noProof/>
        </w:rPr>
        <w:t>7</w:t>
      </w:r>
      <w:r>
        <w:fldChar w:fldCharType="end"/>
      </w:r>
      <w:r w:rsidRPr="00ED7BE1">
        <w:t xml:space="preserve">: FHSS suitability </w:t>
      </w:r>
    </w:p>
    <w:p w:rsidR="009E51D5" w:rsidRDefault="009E51D5" w:rsidP="009E51D5">
      <w:pPr>
        <w:pStyle w:val="ECCParagraph"/>
      </w:pPr>
      <w:r w:rsidRPr="00ED7BE1">
        <w:t xml:space="preserve">The </w:t>
      </w:r>
      <w:r w:rsidRPr="00345D74">
        <w:t xml:space="preserve">main reasons for stating No </w:t>
      </w:r>
      <w:r>
        <w:t xml:space="preserve">to FHSS </w:t>
      </w:r>
      <w:r w:rsidRPr="00345D74">
        <w:t xml:space="preserve">were </w:t>
      </w:r>
      <w:r>
        <w:t xml:space="preserve">considered to be due to </w:t>
      </w:r>
      <w:r w:rsidRPr="00345D74">
        <w:t xml:space="preserve">the respective application(s) not </w:t>
      </w:r>
      <w:r>
        <w:t xml:space="preserve">being </w:t>
      </w:r>
      <w:r w:rsidRPr="00345D74">
        <w:t xml:space="preserve">energy efficient enough or </w:t>
      </w:r>
      <w:r>
        <w:t xml:space="preserve">that it </w:t>
      </w:r>
      <w:r w:rsidRPr="00345D74">
        <w:t xml:space="preserve">does not fit protocols with many short messages and the high number of mandatory FHSS channels compared with the US regulation. </w:t>
      </w:r>
    </w:p>
    <w:p w:rsidR="009E51D5" w:rsidRDefault="009E51D5" w:rsidP="009E51D5">
      <w:pPr>
        <w:pStyle w:val="ECCParagraph"/>
        <w:keepNext/>
        <w:spacing w:after="120"/>
      </w:pPr>
      <w:r w:rsidRPr="00345D74">
        <w:t>Other statements included:</w:t>
      </w:r>
    </w:p>
    <w:p w:rsidR="009E51D5" w:rsidRPr="00345D74" w:rsidRDefault="009E51D5" w:rsidP="009E51D5">
      <w:pPr>
        <w:pStyle w:val="ECCParBulleted"/>
        <w:keepNext/>
        <w:spacing w:after="120"/>
      </w:pPr>
      <w:r w:rsidRPr="00345D74">
        <w:t>not well aligned with other regions;</w:t>
      </w:r>
      <w:r>
        <w:t xml:space="preserve"> </w:t>
      </w:r>
      <w:r w:rsidRPr="00345D74">
        <w:t>FHSS power would swamp any alarm signals;</w:t>
      </w:r>
    </w:p>
    <w:p w:rsidR="009E51D5" w:rsidRPr="00345D74" w:rsidRDefault="009E51D5" w:rsidP="009E51D5">
      <w:pPr>
        <w:pStyle w:val="ECCParBulleted"/>
        <w:spacing w:after="120"/>
      </w:pPr>
      <w:r w:rsidRPr="00345D74">
        <w:t>no real advantage as available frequencies are too close together for FHSS to deliver benefit;</w:t>
      </w:r>
    </w:p>
    <w:p w:rsidR="009E51D5" w:rsidRPr="00345D74" w:rsidRDefault="009E51D5" w:rsidP="009E51D5">
      <w:pPr>
        <w:pStyle w:val="ECCParBulleted"/>
        <w:spacing w:after="120"/>
      </w:pPr>
      <w:r w:rsidRPr="00345D74">
        <w:t>FHSS is not justified for sub-Giga frequencies, there is no benefit;</w:t>
      </w:r>
    </w:p>
    <w:p w:rsidR="009E51D5" w:rsidRDefault="009E51D5" w:rsidP="009E51D5">
      <w:pPr>
        <w:pStyle w:val="ECCParBulleted"/>
        <w:spacing w:after="120"/>
      </w:pPr>
      <w:r w:rsidRPr="00345D74">
        <w:t xml:space="preserve">Furthermore it is a technique that jams the whole band and is necessarily limited in use time with a restricted duty cycle. This duty-cycle is not compatible with many home automation applications; </w:t>
      </w:r>
    </w:p>
    <w:p w:rsidR="009E51D5" w:rsidRPr="006B206A" w:rsidRDefault="009E51D5" w:rsidP="009E51D5">
      <w:pPr>
        <w:pStyle w:val="ECCParBulleted"/>
      </w:pPr>
      <w:r w:rsidRPr="006B206A">
        <w:t>Moreover there is not enough room in that band for implementing FHSS</w:t>
      </w:r>
      <w:r>
        <w:t>.</w:t>
      </w:r>
    </w:p>
    <w:p w:rsidR="009E51D5" w:rsidRDefault="009E51D5" w:rsidP="009E51D5">
      <w:pPr>
        <w:pStyle w:val="ECCParBulleted"/>
        <w:numPr>
          <w:ilvl w:val="0"/>
          <w:numId w:val="0"/>
        </w:numPr>
        <w:spacing w:after="120"/>
        <w:ind w:left="340" w:hanging="340"/>
      </w:pPr>
    </w:p>
    <w:tbl>
      <w:tblPr>
        <w:tblW w:w="0" w:type="auto"/>
        <w:tblBorders>
          <w:top w:val="single" w:sz="4" w:space="0" w:color="D2232A"/>
          <w:left w:val="single" w:sz="4" w:space="0" w:color="D2232A"/>
          <w:bottom w:val="single" w:sz="4" w:space="0" w:color="D2232A"/>
          <w:right w:val="single" w:sz="4" w:space="0" w:color="D2232A"/>
          <w:insideH w:val="single" w:sz="4" w:space="0" w:color="D2232A"/>
          <w:insideV w:val="single" w:sz="4" w:space="0" w:color="D2232A"/>
        </w:tblBorders>
        <w:tblCellMar>
          <w:top w:w="11" w:type="dxa"/>
          <w:bottom w:w="11" w:type="dxa"/>
        </w:tblCellMar>
        <w:tblLook w:val="01E0" w:firstRow="1" w:lastRow="1" w:firstColumn="1" w:lastColumn="1" w:noHBand="0" w:noVBand="0"/>
      </w:tblPr>
      <w:tblGrid>
        <w:gridCol w:w="9855"/>
      </w:tblGrid>
      <w:tr w:rsidR="009E51D5" w:rsidRPr="00D00317" w:rsidTr="009E51D5">
        <w:trPr>
          <w:tblHeader/>
        </w:trPr>
        <w:tc>
          <w:tcPr>
            <w:tcW w:w="9855" w:type="dxa"/>
            <w:shd w:val="clear" w:color="auto" w:fill="D2232A"/>
            <w:vAlign w:val="center"/>
          </w:tcPr>
          <w:p w:rsidR="009E51D5" w:rsidRPr="00D00317" w:rsidRDefault="009E51D5" w:rsidP="004940CA">
            <w:pPr>
              <w:spacing w:line="288" w:lineRule="auto"/>
              <w:jc w:val="center"/>
              <w:rPr>
                <w:b/>
                <w:color w:val="FFFFFF"/>
                <w:lang w:val="en-GB"/>
              </w:rPr>
            </w:pPr>
            <w:r>
              <w:rPr>
                <w:b/>
                <w:color w:val="FFFFFF"/>
                <w:lang w:val="en-GB"/>
              </w:rPr>
              <w:t>Assessment</w:t>
            </w:r>
          </w:p>
        </w:tc>
      </w:tr>
      <w:tr w:rsidR="009E51D5" w:rsidRPr="00D00317" w:rsidTr="009E51D5">
        <w:tc>
          <w:tcPr>
            <w:tcW w:w="9855" w:type="dxa"/>
            <w:vAlign w:val="center"/>
          </w:tcPr>
          <w:p w:rsidR="009E51D5" w:rsidRPr="00332FBB" w:rsidRDefault="009E51D5" w:rsidP="004940CA">
            <w:pPr>
              <w:pStyle w:val="ECCParagraph"/>
            </w:pPr>
            <w:r w:rsidRPr="00332FBB">
              <w:t xml:space="preserve">FHSS systems do not work as energy spreading systems in relative narrow frequency bands but merely as a set of parallel (frequency agile) DC based systems. It may cause more harm than benefit in general. </w:t>
            </w:r>
            <w:r w:rsidR="004940CA">
              <w:t>C</w:t>
            </w:r>
            <w:r w:rsidRPr="00332FBB">
              <w:t>onsider reviewing and possibly removing the FHSS regulation in these narrow bands and simplify the regulation for frequency agile medium access technologies (including equipment supporting higher duty cycles).</w:t>
            </w:r>
          </w:p>
        </w:tc>
      </w:tr>
    </w:tbl>
    <w:p w:rsidR="009E51D5" w:rsidRPr="00ED7BE1" w:rsidRDefault="009E51D5" w:rsidP="009E51D5">
      <w:pPr>
        <w:rPr>
          <w:rFonts w:cs="Arial"/>
          <w:bCs/>
        </w:rPr>
      </w:pPr>
    </w:p>
    <w:p w:rsidR="009E51D5" w:rsidRPr="00ED7BE1" w:rsidRDefault="009E51D5" w:rsidP="008F612F">
      <w:pPr>
        <w:keepNext/>
        <w:numPr>
          <w:ilvl w:val="0"/>
          <w:numId w:val="22"/>
        </w:numPr>
        <w:rPr>
          <w:rFonts w:cs="Arial"/>
          <w:b/>
          <w:bCs/>
        </w:rPr>
      </w:pPr>
      <w:r w:rsidRPr="00ED7BE1">
        <w:rPr>
          <w:rFonts w:cs="Arial"/>
          <w:b/>
          <w:bCs/>
        </w:rPr>
        <w:t>DSSS</w:t>
      </w:r>
    </w:p>
    <w:p w:rsidR="009E51D5" w:rsidRPr="00ED7BE1" w:rsidRDefault="009E51D5" w:rsidP="008F612F">
      <w:pPr>
        <w:keepNext/>
        <w:rPr>
          <w:rFonts w:cs="Arial"/>
          <w:bCs/>
        </w:rPr>
      </w:pPr>
    </w:p>
    <w:p w:rsidR="009E51D5" w:rsidRPr="00ED7BE1" w:rsidRDefault="009E51D5" w:rsidP="009E51D5">
      <w:pPr>
        <w:pStyle w:val="ECCParagraph"/>
      </w:pPr>
      <w:r w:rsidRPr="00ED7BE1">
        <w:t>38 responders stated NO.</w:t>
      </w:r>
    </w:p>
    <w:p w:rsidR="009E51D5" w:rsidRPr="00ED7BE1" w:rsidRDefault="009E51D5" w:rsidP="009E51D5">
      <w:pPr>
        <w:pStyle w:val="Footer"/>
        <w:rPr>
          <w:b/>
        </w:rPr>
      </w:pPr>
    </w:p>
    <w:p w:rsidR="009E51D5" w:rsidRPr="00ED7BE1" w:rsidRDefault="009E51D5" w:rsidP="009E51D5">
      <w:pPr>
        <w:jc w:val="center"/>
        <w:rPr>
          <w:rFonts w:cs="Arial"/>
          <w:b/>
          <w:bCs/>
        </w:rPr>
      </w:pPr>
      <w:r>
        <w:rPr>
          <w:rFonts w:cs="Arial"/>
          <w:bCs/>
          <w:noProof/>
          <w:lang w:val="da-DK" w:eastAsia="da-DK"/>
        </w:rPr>
        <w:drawing>
          <wp:inline distT="0" distB="0" distL="0" distR="0" wp14:anchorId="0C283CB7" wp14:editId="7EADE416">
            <wp:extent cx="3098800" cy="1828800"/>
            <wp:effectExtent l="0" t="0" r="0" b="0"/>
            <wp:docPr id="27" name="Chart 2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9E51D5" w:rsidRDefault="009E51D5" w:rsidP="009E51D5">
      <w:pPr>
        <w:pStyle w:val="Caption"/>
        <w:rPr>
          <w:bCs w:val="0"/>
        </w:rPr>
      </w:pPr>
      <w:r>
        <w:t xml:space="preserve">Figure </w:t>
      </w:r>
      <w:r>
        <w:fldChar w:fldCharType="begin"/>
      </w:r>
      <w:r>
        <w:instrText xml:space="preserve"> SEQ Figure \* ARABIC </w:instrText>
      </w:r>
      <w:r>
        <w:fldChar w:fldCharType="separate"/>
      </w:r>
      <w:r w:rsidR="001A06A7">
        <w:rPr>
          <w:noProof/>
        </w:rPr>
        <w:t>8</w:t>
      </w:r>
      <w:r>
        <w:fldChar w:fldCharType="end"/>
      </w:r>
      <w:r>
        <w:t>: DSSS suitability</w:t>
      </w:r>
    </w:p>
    <w:p w:rsidR="009E51D5" w:rsidRDefault="009E51D5" w:rsidP="009E51D5">
      <w:pPr>
        <w:pStyle w:val="ECCParagraph"/>
      </w:pPr>
      <w:r w:rsidRPr="00ED7BE1">
        <w:t>The main reasons for stating No were seen in the non-availability of DSSS chipsets or DSSS seen under the current regulation as too complex (it would need at least 5 MHz contiguous bandwidth with higher power/PSD), not energy efficient enough, being too sensitive to high power adjacent applications, too low DC and LBT not feasible.</w:t>
      </w:r>
    </w:p>
    <w:p w:rsidR="009E51D5" w:rsidRDefault="009E51D5" w:rsidP="009E51D5">
      <w:pPr>
        <w:pStyle w:val="ECCParagraph"/>
      </w:pPr>
      <w:r w:rsidRPr="00ED7BE1">
        <w:t xml:space="preserve">The minimisation of design variants for the DSSS for the worldwide market was seen as a possibility for improvements. </w:t>
      </w:r>
    </w:p>
    <w:tbl>
      <w:tblPr>
        <w:tblW w:w="0" w:type="auto"/>
        <w:tblBorders>
          <w:top w:val="single" w:sz="4" w:space="0" w:color="D2232A"/>
          <w:left w:val="single" w:sz="4" w:space="0" w:color="D2232A"/>
          <w:bottom w:val="single" w:sz="4" w:space="0" w:color="D2232A"/>
          <w:right w:val="single" w:sz="4" w:space="0" w:color="D2232A"/>
          <w:insideH w:val="single" w:sz="4" w:space="0" w:color="D2232A"/>
          <w:insideV w:val="single" w:sz="4" w:space="0" w:color="D2232A"/>
        </w:tblBorders>
        <w:tblCellMar>
          <w:top w:w="11" w:type="dxa"/>
          <w:bottom w:w="11" w:type="dxa"/>
        </w:tblCellMar>
        <w:tblLook w:val="01E0" w:firstRow="1" w:lastRow="1" w:firstColumn="1" w:lastColumn="1" w:noHBand="0" w:noVBand="0"/>
      </w:tblPr>
      <w:tblGrid>
        <w:gridCol w:w="9855"/>
      </w:tblGrid>
      <w:tr w:rsidR="009E51D5" w:rsidRPr="00D00317" w:rsidTr="009E51D5">
        <w:trPr>
          <w:tblHeader/>
        </w:trPr>
        <w:tc>
          <w:tcPr>
            <w:tcW w:w="9855" w:type="dxa"/>
            <w:shd w:val="clear" w:color="auto" w:fill="D2232A"/>
            <w:vAlign w:val="center"/>
          </w:tcPr>
          <w:p w:rsidR="009E51D5" w:rsidRPr="00D00317" w:rsidRDefault="009E51D5" w:rsidP="004940CA">
            <w:pPr>
              <w:spacing w:line="288" w:lineRule="auto"/>
              <w:jc w:val="center"/>
              <w:rPr>
                <w:b/>
                <w:color w:val="FFFFFF"/>
                <w:lang w:val="en-GB"/>
              </w:rPr>
            </w:pPr>
            <w:r>
              <w:rPr>
                <w:b/>
                <w:color w:val="FFFFFF"/>
                <w:lang w:val="en-GB"/>
              </w:rPr>
              <w:t>Assessment</w:t>
            </w:r>
          </w:p>
        </w:tc>
      </w:tr>
      <w:tr w:rsidR="009E51D5" w:rsidRPr="00D00317" w:rsidTr="009E51D5">
        <w:tc>
          <w:tcPr>
            <w:tcW w:w="9855" w:type="dxa"/>
            <w:vAlign w:val="center"/>
          </w:tcPr>
          <w:p w:rsidR="009E51D5" w:rsidRPr="00332FBB" w:rsidRDefault="004940CA" w:rsidP="004940CA">
            <w:pPr>
              <w:pStyle w:val="ECCParagraph"/>
            </w:pPr>
            <w:r>
              <w:t>R</w:t>
            </w:r>
            <w:r w:rsidR="009E51D5" w:rsidRPr="00332FBB">
              <w:t>eview the existing DSSS regulation with regard to its impact on LBT+AFA devices. DSSS works only as a mitigation technique when sufficient spectrum is available and only when relatively expensive, good quality receivers are used. There is clearly a mismatch with most of the other access techniques in the 863-870 MHz band but with the low power levels currently in regulation not much harm is done. At the present time, no changes are advocated for DSSS medium access rules in the regulations</w:t>
            </w:r>
            <w:r w:rsidR="009E51D5">
              <w:t>.</w:t>
            </w:r>
          </w:p>
        </w:tc>
      </w:tr>
    </w:tbl>
    <w:p w:rsidR="009E51D5" w:rsidRPr="006B206A" w:rsidRDefault="009E51D5" w:rsidP="009E51D5">
      <w:pPr>
        <w:rPr>
          <w:rFonts w:cs="Arial"/>
          <w:sz w:val="22"/>
          <w:szCs w:val="22"/>
        </w:rPr>
      </w:pPr>
    </w:p>
    <w:p w:rsidR="009E51D5" w:rsidRDefault="009E51D5" w:rsidP="009E51D5">
      <w:pPr>
        <w:numPr>
          <w:ilvl w:val="0"/>
          <w:numId w:val="22"/>
        </w:numPr>
        <w:rPr>
          <w:rFonts w:cs="Arial"/>
          <w:b/>
          <w:bCs/>
        </w:rPr>
      </w:pPr>
      <w:r w:rsidRPr="00ED7BE1">
        <w:rPr>
          <w:rFonts w:cs="Arial"/>
          <w:b/>
          <w:bCs/>
        </w:rPr>
        <w:t>LBT + AFA</w:t>
      </w:r>
    </w:p>
    <w:p w:rsidR="009E51D5" w:rsidRPr="00ED7BE1" w:rsidRDefault="009E51D5" w:rsidP="009E51D5">
      <w:pPr>
        <w:rPr>
          <w:rFonts w:cs="Arial"/>
          <w:b/>
          <w:bCs/>
        </w:rPr>
      </w:pPr>
    </w:p>
    <w:p w:rsidR="009E51D5" w:rsidRPr="00ED7BE1" w:rsidRDefault="009E51D5" w:rsidP="009E51D5">
      <w:pPr>
        <w:pStyle w:val="ECCParagraph"/>
        <w:rPr>
          <w:sz w:val="22"/>
          <w:szCs w:val="22"/>
        </w:rPr>
      </w:pPr>
      <w:r w:rsidRPr="005342B4">
        <w:t>36 responders stated NO</w:t>
      </w:r>
      <w:r w:rsidRPr="00ED7BE1">
        <w:rPr>
          <w:sz w:val="22"/>
          <w:szCs w:val="22"/>
        </w:rPr>
        <w:t>.</w:t>
      </w:r>
    </w:p>
    <w:p w:rsidR="009E51D5" w:rsidRPr="00ED7BE1" w:rsidRDefault="009E51D5" w:rsidP="009E51D5">
      <w:pPr>
        <w:jc w:val="center"/>
        <w:rPr>
          <w:rFonts w:cs="Arial"/>
          <w:b/>
          <w:bCs/>
        </w:rPr>
      </w:pPr>
      <w:r>
        <w:rPr>
          <w:rFonts w:cs="Arial"/>
          <w:bCs/>
          <w:noProof/>
          <w:lang w:val="da-DK" w:eastAsia="da-DK"/>
        </w:rPr>
        <w:drawing>
          <wp:inline distT="0" distB="0" distL="0" distR="0" wp14:anchorId="70141541" wp14:editId="4D8042CB">
            <wp:extent cx="3098800" cy="1828800"/>
            <wp:effectExtent l="0" t="0" r="0" b="0"/>
            <wp:docPr id="26" name="Chart 2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9E51D5" w:rsidRPr="00ED7BE1" w:rsidRDefault="009E51D5" w:rsidP="009E51D5">
      <w:pPr>
        <w:pStyle w:val="Caption"/>
      </w:pPr>
      <w:r>
        <w:t xml:space="preserve">Figure </w:t>
      </w:r>
      <w:r>
        <w:fldChar w:fldCharType="begin"/>
      </w:r>
      <w:r>
        <w:instrText xml:space="preserve"> SEQ Figure \* ARABIC </w:instrText>
      </w:r>
      <w:r>
        <w:fldChar w:fldCharType="separate"/>
      </w:r>
      <w:r w:rsidR="001A06A7">
        <w:rPr>
          <w:noProof/>
        </w:rPr>
        <w:t>9</w:t>
      </w:r>
      <w:r>
        <w:fldChar w:fldCharType="end"/>
      </w:r>
      <w:r w:rsidRPr="00ED7BE1">
        <w:t xml:space="preserve">: LBT+AFA suitability </w:t>
      </w:r>
    </w:p>
    <w:p w:rsidR="009E51D5" w:rsidRPr="00332FBB" w:rsidRDefault="009E51D5" w:rsidP="009E51D5">
      <w:pPr>
        <w:pStyle w:val="ECCParagraph"/>
      </w:pPr>
      <w:r w:rsidRPr="00332FBB">
        <w:t xml:space="preserve">The main reasons for stating No was seen in LBT + AFA being too complex, too costly, not energy efficient enough (listen-time) or TX-only being not possible. </w:t>
      </w:r>
    </w:p>
    <w:p w:rsidR="009E51D5" w:rsidRPr="00332FBB" w:rsidRDefault="009E51D5" w:rsidP="009E51D5">
      <w:pPr>
        <w:pStyle w:val="ECCParagraph"/>
      </w:pPr>
      <w:r w:rsidRPr="00332FBB">
        <w:t xml:space="preserve">LBT-AFA was also seen as not suitable for audio applications with 100% duty cycle or applications with a very high activity factor &gt; 80%, or in fields of application where a100% Identification rate was required.  </w:t>
      </w:r>
    </w:p>
    <w:p w:rsidR="009E51D5" w:rsidRPr="00332FBB" w:rsidRDefault="009E51D5" w:rsidP="009E51D5">
      <w:pPr>
        <w:pStyle w:val="ECCParagraph"/>
      </w:pPr>
      <w:r w:rsidRPr="00332FBB">
        <w:lastRenderedPageBreak/>
        <w:t xml:space="preserve">LBT would also mean a possible denial of service or the principle of LBT in contradiction to the application and consequently whole application sectors (e.g. industrial, automotive) seem to exclude this access method. </w:t>
      </w:r>
    </w:p>
    <w:p w:rsidR="009E51D5" w:rsidRPr="00332FBB" w:rsidRDefault="009E51D5" w:rsidP="009E51D5">
      <w:pPr>
        <w:pStyle w:val="ECCParagraph"/>
      </w:pPr>
      <w:r w:rsidRPr="00332FBB">
        <w:t>Frequency agility was however seen as a suitable tool to reduce interference.</w:t>
      </w:r>
    </w:p>
    <w:p w:rsidR="009E51D5" w:rsidRPr="00332FBB" w:rsidRDefault="00532580" w:rsidP="009E51D5">
      <w:pPr>
        <w:pStyle w:val="ECCParagraph"/>
      </w:pPr>
      <w:r>
        <w:t xml:space="preserve">ETSI </w:t>
      </w:r>
      <w:r w:rsidR="009E51D5" w:rsidRPr="00332FBB">
        <w:t>EN 300</w:t>
      </w:r>
      <w:r>
        <w:t> </w:t>
      </w:r>
      <w:r w:rsidR="009E51D5" w:rsidRPr="00332FBB">
        <w:t>220</w:t>
      </w:r>
      <w:r>
        <w:t xml:space="preserve"> </w:t>
      </w:r>
      <w:r>
        <w:fldChar w:fldCharType="begin"/>
      </w:r>
      <w:r>
        <w:instrText xml:space="preserve"> REF _Ref321997867 \r \h </w:instrText>
      </w:r>
      <w:r>
        <w:fldChar w:fldCharType="separate"/>
      </w:r>
      <w:r w:rsidR="001A06A7">
        <w:t>[2]</w:t>
      </w:r>
      <w:r>
        <w:fldChar w:fldCharType="end"/>
      </w:r>
      <w:r w:rsidR="009E51D5" w:rsidRPr="00332FBB">
        <w:t xml:space="preserve"> LBT definitions were seen by a couple of responders as not properly defined.</w:t>
      </w:r>
    </w:p>
    <w:p w:rsidR="009E51D5" w:rsidRPr="00332FBB" w:rsidRDefault="009E51D5" w:rsidP="009E51D5">
      <w:pPr>
        <w:pStyle w:val="ECCParagraph"/>
      </w:pPr>
      <w:r w:rsidRPr="00332FBB">
        <w:t>It was further stated that LBT + AFA was not suited to work alongside wireless life safety systems.</w:t>
      </w:r>
    </w:p>
    <w:p w:rsidR="009E51D5" w:rsidRDefault="009E51D5" w:rsidP="009E51D5">
      <w:pPr>
        <w:pStyle w:val="ECCParagraph"/>
        <w:rPr>
          <w:bCs/>
        </w:rPr>
      </w:pPr>
      <w:r w:rsidRPr="00332FBB">
        <w:t>Nevertheless, LBT-AFA is used, in particular for many applications in the home automation application fields</w:t>
      </w:r>
      <w:r w:rsidRPr="00ED7BE1">
        <w:rPr>
          <w:bCs/>
        </w:rPr>
        <w:t>.</w:t>
      </w:r>
    </w:p>
    <w:tbl>
      <w:tblPr>
        <w:tblW w:w="0" w:type="auto"/>
        <w:tblBorders>
          <w:top w:val="single" w:sz="4" w:space="0" w:color="D2232A"/>
          <w:left w:val="single" w:sz="4" w:space="0" w:color="D2232A"/>
          <w:bottom w:val="single" w:sz="4" w:space="0" w:color="D2232A"/>
          <w:right w:val="single" w:sz="4" w:space="0" w:color="D2232A"/>
          <w:insideH w:val="single" w:sz="4" w:space="0" w:color="D2232A"/>
          <w:insideV w:val="single" w:sz="4" w:space="0" w:color="D2232A"/>
        </w:tblBorders>
        <w:tblCellMar>
          <w:top w:w="11" w:type="dxa"/>
          <w:bottom w:w="11" w:type="dxa"/>
        </w:tblCellMar>
        <w:tblLook w:val="01E0" w:firstRow="1" w:lastRow="1" w:firstColumn="1" w:lastColumn="1" w:noHBand="0" w:noVBand="0"/>
      </w:tblPr>
      <w:tblGrid>
        <w:gridCol w:w="9855"/>
      </w:tblGrid>
      <w:tr w:rsidR="009E51D5" w:rsidRPr="00D00317" w:rsidTr="009E51D5">
        <w:trPr>
          <w:tblHeader/>
        </w:trPr>
        <w:tc>
          <w:tcPr>
            <w:tcW w:w="9855" w:type="dxa"/>
            <w:shd w:val="clear" w:color="auto" w:fill="D2232A"/>
            <w:vAlign w:val="center"/>
          </w:tcPr>
          <w:p w:rsidR="009E51D5" w:rsidRPr="00D00317" w:rsidRDefault="009E51D5" w:rsidP="004940CA">
            <w:pPr>
              <w:pStyle w:val="ECCParagraph"/>
              <w:jc w:val="center"/>
              <w:rPr>
                <w:color w:val="FFFFFF"/>
              </w:rPr>
            </w:pPr>
            <w:r w:rsidRPr="00116031">
              <w:rPr>
                <w:color w:val="FFFFFF" w:themeColor="background1"/>
              </w:rPr>
              <w:t>Assessment</w:t>
            </w:r>
          </w:p>
        </w:tc>
      </w:tr>
      <w:tr w:rsidR="009E51D5" w:rsidRPr="00332FBB" w:rsidTr="009E51D5">
        <w:tc>
          <w:tcPr>
            <w:tcW w:w="9855" w:type="dxa"/>
            <w:vAlign w:val="center"/>
          </w:tcPr>
          <w:p w:rsidR="009E51D5" w:rsidRPr="00332FBB" w:rsidRDefault="009E51D5" w:rsidP="004940CA">
            <w:pPr>
              <w:pStyle w:val="ECCParagraph"/>
            </w:pPr>
            <w:r w:rsidRPr="00332FBB">
              <w:t>LBT+AFA give a benefit to the device using it, as well as to other devices sharing the band. On one hand, almost half of the responders think LBT+AFA could suit their application. On the other hand, many users do not consider the usage of LBT+AFA because of its higher cost and complexity or to maintain the status quo. The use of LBT+AFA should be rewarded. In addition, LBT+AFA should not block out DC only devices. A better and more complete definition of LBT+AFA for these specific sharing situations should be developed.</w:t>
            </w:r>
          </w:p>
        </w:tc>
      </w:tr>
    </w:tbl>
    <w:p w:rsidR="009E51D5" w:rsidRPr="00ED7BE1" w:rsidRDefault="009E51D5" w:rsidP="009E51D5">
      <w:pPr>
        <w:rPr>
          <w:rFonts w:cs="Arial"/>
          <w:b/>
          <w:bCs/>
        </w:rPr>
      </w:pPr>
    </w:p>
    <w:p w:rsidR="009E51D5" w:rsidRPr="00ED7BE1" w:rsidRDefault="009E51D5" w:rsidP="009E51D5">
      <w:pPr>
        <w:keepNext/>
        <w:numPr>
          <w:ilvl w:val="0"/>
          <w:numId w:val="22"/>
        </w:numPr>
        <w:rPr>
          <w:rFonts w:cs="Arial"/>
          <w:b/>
          <w:bCs/>
        </w:rPr>
      </w:pPr>
      <w:r w:rsidRPr="00ED7BE1">
        <w:rPr>
          <w:rFonts w:cs="Arial"/>
          <w:b/>
          <w:bCs/>
        </w:rPr>
        <w:t>LBT</w:t>
      </w:r>
    </w:p>
    <w:p w:rsidR="009E51D5" w:rsidRPr="00ED7BE1" w:rsidRDefault="009E51D5" w:rsidP="009E51D5">
      <w:pPr>
        <w:keepNext/>
        <w:rPr>
          <w:rFonts w:cs="Arial"/>
          <w:b/>
          <w:bCs/>
        </w:rPr>
      </w:pPr>
    </w:p>
    <w:p w:rsidR="009E51D5" w:rsidRPr="00ED7BE1" w:rsidRDefault="009E51D5" w:rsidP="009E51D5">
      <w:pPr>
        <w:keepNext/>
        <w:rPr>
          <w:rFonts w:cs="Arial"/>
          <w:bCs/>
        </w:rPr>
      </w:pPr>
      <w:r w:rsidRPr="00ED7BE1">
        <w:rPr>
          <w:rFonts w:cs="Arial"/>
          <w:bCs/>
        </w:rPr>
        <w:t>42 responders stated NO.</w:t>
      </w:r>
    </w:p>
    <w:p w:rsidR="009E51D5" w:rsidRPr="00ED7BE1" w:rsidRDefault="009E51D5" w:rsidP="009E51D5">
      <w:pPr>
        <w:keepNext/>
        <w:jc w:val="center"/>
        <w:rPr>
          <w:rFonts w:cs="Arial"/>
          <w:b/>
          <w:bCs/>
        </w:rPr>
      </w:pPr>
      <w:r>
        <w:rPr>
          <w:rFonts w:cs="Arial"/>
          <w:bCs/>
          <w:noProof/>
          <w:lang w:val="da-DK" w:eastAsia="da-DK"/>
        </w:rPr>
        <w:drawing>
          <wp:inline distT="0" distB="0" distL="0" distR="0" wp14:anchorId="4C8F3A0A" wp14:editId="2DB278BC">
            <wp:extent cx="3098800" cy="1828800"/>
            <wp:effectExtent l="0" t="0" r="0" b="0"/>
            <wp:docPr id="25" name="Chart 2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9E51D5" w:rsidRPr="00ED7BE1" w:rsidRDefault="009E51D5" w:rsidP="009E51D5">
      <w:pPr>
        <w:pStyle w:val="Caption"/>
        <w:keepNext/>
      </w:pPr>
      <w:r>
        <w:t xml:space="preserve">Figure </w:t>
      </w:r>
      <w:r>
        <w:fldChar w:fldCharType="begin"/>
      </w:r>
      <w:r>
        <w:instrText xml:space="preserve"> SEQ Figure \* ARABIC </w:instrText>
      </w:r>
      <w:r>
        <w:fldChar w:fldCharType="separate"/>
      </w:r>
      <w:r w:rsidR="001A06A7">
        <w:rPr>
          <w:noProof/>
        </w:rPr>
        <w:t>10</w:t>
      </w:r>
      <w:r>
        <w:fldChar w:fldCharType="end"/>
      </w:r>
      <w:r w:rsidRPr="00ED7BE1">
        <w:t xml:space="preserve">: LBT suitability </w:t>
      </w:r>
    </w:p>
    <w:p w:rsidR="009E51D5" w:rsidRPr="00ED7BE1" w:rsidRDefault="009E51D5" w:rsidP="009E51D5">
      <w:pPr>
        <w:pStyle w:val="ECCParagraph"/>
      </w:pPr>
      <w:r>
        <w:t>M</w:t>
      </w:r>
      <w:r w:rsidRPr="00ED7BE1">
        <w:t xml:space="preserve">ain reasons </w:t>
      </w:r>
      <w:r>
        <w:t xml:space="preserve">for </w:t>
      </w:r>
      <w:r w:rsidRPr="00ED7BE1">
        <w:t xml:space="preserve">stating No were the same as for LBT + AFA. In addition, statements indicated that LBT-only might not be suitable for applications operating on a strict time basis, for audio applications or where an absolutely predictable reaction time would be needed.  </w:t>
      </w:r>
    </w:p>
    <w:p w:rsidR="009E51D5" w:rsidRDefault="009E51D5" w:rsidP="009E51D5">
      <w:pPr>
        <w:pStyle w:val="ECCParagraph"/>
        <w:rPr>
          <w:lang w:val="en-US"/>
        </w:rPr>
      </w:pPr>
      <w:r w:rsidRPr="00ED7BE1">
        <w:rPr>
          <w:lang w:val="en-US"/>
        </w:rPr>
        <w:t>Furthermore, the fixed LBT threshold was criticized, also increasing the risk of being falsely triggered. AFA was seen by a number of responses as absolutely essential/ indispensable for LBT, to ensure message delivery in a deterministic manner.</w:t>
      </w:r>
    </w:p>
    <w:p w:rsidR="009E51D5" w:rsidRDefault="009E51D5" w:rsidP="009E51D5">
      <w:pPr>
        <w:pStyle w:val="ECCParagraph"/>
      </w:pPr>
      <w:r w:rsidRPr="00ED7BE1">
        <w:t xml:space="preserve">Although LBT “only” (i.e. without AFA) might be suitable for more simple and less reliable applications, it is felt that the present electronic components state of art and cheap available solutions are driving the market as a whole rather to LBT+AFA. </w:t>
      </w:r>
    </w:p>
    <w:tbl>
      <w:tblPr>
        <w:tblW w:w="0" w:type="auto"/>
        <w:tblBorders>
          <w:top w:val="single" w:sz="4" w:space="0" w:color="D2232A"/>
          <w:left w:val="single" w:sz="4" w:space="0" w:color="D2232A"/>
          <w:bottom w:val="single" w:sz="4" w:space="0" w:color="D2232A"/>
          <w:right w:val="single" w:sz="4" w:space="0" w:color="D2232A"/>
          <w:insideH w:val="single" w:sz="4" w:space="0" w:color="D2232A"/>
          <w:insideV w:val="single" w:sz="4" w:space="0" w:color="D2232A"/>
        </w:tblBorders>
        <w:tblCellMar>
          <w:top w:w="11" w:type="dxa"/>
          <w:bottom w:w="11" w:type="dxa"/>
        </w:tblCellMar>
        <w:tblLook w:val="01E0" w:firstRow="1" w:lastRow="1" w:firstColumn="1" w:lastColumn="1" w:noHBand="0" w:noVBand="0"/>
      </w:tblPr>
      <w:tblGrid>
        <w:gridCol w:w="9855"/>
      </w:tblGrid>
      <w:tr w:rsidR="009E51D5" w:rsidRPr="00D00317" w:rsidTr="009E51D5">
        <w:trPr>
          <w:tblHeader/>
        </w:trPr>
        <w:tc>
          <w:tcPr>
            <w:tcW w:w="9855" w:type="dxa"/>
            <w:shd w:val="clear" w:color="auto" w:fill="D2232A"/>
            <w:vAlign w:val="center"/>
          </w:tcPr>
          <w:p w:rsidR="009E51D5" w:rsidRPr="00116031" w:rsidRDefault="009E51D5" w:rsidP="008F612F">
            <w:pPr>
              <w:pStyle w:val="ECCParagraph"/>
              <w:keepNext/>
              <w:jc w:val="center"/>
              <w:rPr>
                <w:b/>
                <w:color w:val="FFFFFF" w:themeColor="background1"/>
              </w:rPr>
            </w:pPr>
            <w:r w:rsidRPr="00116031">
              <w:rPr>
                <w:b/>
                <w:color w:val="FFFFFF" w:themeColor="background1"/>
              </w:rPr>
              <w:lastRenderedPageBreak/>
              <w:t>Assessment</w:t>
            </w:r>
          </w:p>
        </w:tc>
      </w:tr>
      <w:tr w:rsidR="009E51D5" w:rsidRPr="00332FBB" w:rsidTr="009E51D5">
        <w:tc>
          <w:tcPr>
            <w:tcW w:w="9855" w:type="dxa"/>
            <w:vAlign w:val="center"/>
          </w:tcPr>
          <w:p w:rsidR="009E51D5" w:rsidRPr="00116031" w:rsidRDefault="009E51D5" w:rsidP="008F612F">
            <w:pPr>
              <w:pStyle w:val="ECCParagraph"/>
              <w:keepNext/>
              <w:rPr>
                <w:rFonts w:cs="Arial"/>
                <w:bCs/>
                <w:szCs w:val="20"/>
              </w:rPr>
            </w:pPr>
            <w:r w:rsidRPr="00116031">
              <w:rPr>
                <w:rFonts w:cs="Arial"/>
                <w:bCs/>
                <w:szCs w:val="20"/>
              </w:rPr>
              <w:t>LBT only, without describing further actions and timing issues, is by some administrations considered a method that does not guarantee equal spectrum access. Industry confirms this.</w:t>
            </w:r>
          </w:p>
          <w:p w:rsidR="009E51D5" w:rsidRPr="00332FBB" w:rsidRDefault="009E51D5" w:rsidP="008F612F">
            <w:pPr>
              <w:pStyle w:val="ECCParagraph"/>
              <w:keepNext/>
            </w:pPr>
            <w:r w:rsidRPr="00116031">
              <w:rPr>
                <w:rFonts w:cs="Arial"/>
                <w:bCs/>
                <w:szCs w:val="20"/>
              </w:rPr>
              <w:t xml:space="preserve">A better and more complete definition of LBT defining the thresholds and timings should be developed for the benefit of the users, i.e. to achieve higher performance. </w:t>
            </w:r>
            <w:r w:rsidR="004940CA">
              <w:rPr>
                <w:rFonts w:cs="Arial"/>
                <w:bCs/>
                <w:szCs w:val="20"/>
              </w:rPr>
              <w:t>C</w:t>
            </w:r>
            <w:r w:rsidRPr="00116031">
              <w:rPr>
                <w:rFonts w:cs="Arial"/>
                <w:bCs/>
                <w:szCs w:val="20"/>
              </w:rPr>
              <w:t>onsider setting up incentives for using LBT.</w:t>
            </w:r>
          </w:p>
        </w:tc>
      </w:tr>
    </w:tbl>
    <w:p w:rsidR="009E51D5" w:rsidRPr="00ED7BE1" w:rsidRDefault="009E51D5" w:rsidP="009E51D5">
      <w:pPr>
        <w:rPr>
          <w:rFonts w:cs="Arial"/>
          <w:b/>
          <w:bCs/>
        </w:rPr>
      </w:pPr>
    </w:p>
    <w:p w:rsidR="009E51D5" w:rsidRPr="00ED7BE1" w:rsidRDefault="009E51D5" w:rsidP="009E51D5">
      <w:pPr>
        <w:keepNext/>
        <w:numPr>
          <w:ilvl w:val="0"/>
          <w:numId w:val="22"/>
        </w:numPr>
        <w:rPr>
          <w:rFonts w:cs="Arial"/>
          <w:b/>
          <w:bCs/>
        </w:rPr>
      </w:pPr>
      <w:r w:rsidRPr="00ED7BE1">
        <w:rPr>
          <w:rFonts w:cs="Arial"/>
          <w:b/>
          <w:bCs/>
        </w:rPr>
        <w:t>Duty Cycle (DC)</w:t>
      </w:r>
    </w:p>
    <w:p w:rsidR="009E51D5" w:rsidRPr="00ED7BE1" w:rsidRDefault="009E51D5" w:rsidP="009E51D5">
      <w:pPr>
        <w:keepNext/>
        <w:rPr>
          <w:rFonts w:cs="Arial"/>
          <w:b/>
          <w:bCs/>
        </w:rPr>
      </w:pPr>
    </w:p>
    <w:p w:rsidR="009E51D5" w:rsidRPr="00ED7BE1" w:rsidRDefault="009E51D5" w:rsidP="009E51D5">
      <w:pPr>
        <w:pStyle w:val="ECCParagraph"/>
        <w:keepNext/>
        <w:spacing w:after="0"/>
      </w:pPr>
      <w:r w:rsidRPr="00ED7BE1">
        <w:t xml:space="preserve">56 responders stated YES. </w:t>
      </w:r>
    </w:p>
    <w:p w:rsidR="009E51D5" w:rsidRPr="00ED7BE1" w:rsidRDefault="009E51D5" w:rsidP="009E51D5">
      <w:pPr>
        <w:keepNext/>
        <w:rPr>
          <w:rFonts w:cs="Arial"/>
          <w:bCs/>
        </w:rPr>
      </w:pPr>
    </w:p>
    <w:p w:rsidR="009E51D5" w:rsidRPr="00ED7BE1" w:rsidRDefault="009E51D5" w:rsidP="009E51D5">
      <w:pPr>
        <w:keepNext/>
        <w:rPr>
          <w:rFonts w:cs="Arial"/>
          <w:b/>
          <w:bCs/>
        </w:rPr>
      </w:pPr>
    </w:p>
    <w:p w:rsidR="009E51D5" w:rsidRPr="00ED7BE1" w:rsidRDefault="009E51D5" w:rsidP="009E51D5">
      <w:pPr>
        <w:keepNext/>
        <w:jc w:val="center"/>
        <w:rPr>
          <w:rFonts w:cs="Arial"/>
          <w:b/>
          <w:bCs/>
        </w:rPr>
      </w:pPr>
      <w:r>
        <w:rPr>
          <w:rFonts w:cs="Arial"/>
          <w:bCs/>
          <w:noProof/>
          <w:lang w:val="da-DK" w:eastAsia="da-DK"/>
        </w:rPr>
        <w:drawing>
          <wp:inline distT="0" distB="0" distL="0" distR="0" wp14:anchorId="32CE9BBD" wp14:editId="3B397A87">
            <wp:extent cx="3098800" cy="1828800"/>
            <wp:effectExtent l="0" t="0" r="0" b="0"/>
            <wp:docPr id="29" name="Chart 2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9E51D5" w:rsidRDefault="009E51D5" w:rsidP="009E51D5">
      <w:pPr>
        <w:pStyle w:val="Footer"/>
        <w:keepNext/>
        <w:rPr>
          <w:b/>
        </w:rPr>
      </w:pPr>
    </w:p>
    <w:p w:rsidR="009E51D5" w:rsidRPr="00ED7BE1" w:rsidRDefault="009E51D5" w:rsidP="009E51D5">
      <w:pPr>
        <w:pStyle w:val="Caption"/>
        <w:keepNext/>
      </w:pPr>
      <w:r>
        <w:t xml:space="preserve">Figure </w:t>
      </w:r>
      <w:r>
        <w:fldChar w:fldCharType="begin"/>
      </w:r>
      <w:r>
        <w:instrText xml:space="preserve"> SEQ Figure \* ARABIC </w:instrText>
      </w:r>
      <w:r>
        <w:fldChar w:fldCharType="separate"/>
      </w:r>
      <w:r w:rsidR="001A06A7">
        <w:rPr>
          <w:noProof/>
        </w:rPr>
        <w:t>11</w:t>
      </w:r>
      <w:r>
        <w:fldChar w:fldCharType="end"/>
      </w:r>
      <w:r w:rsidRPr="00ED7BE1">
        <w:t xml:space="preserve">: Duty Cycle suitability </w:t>
      </w:r>
    </w:p>
    <w:p w:rsidR="009E51D5" w:rsidRDefault="009E51D5" w:rsidP="009E51D5">
      <w:pPr>
        <w:pStyle w:val="ECCParagraph"/>
      </w:pPr>
      <w:r w:rsidRPr="00D52AE5">
        <w:t>DC is seen by the vast majority of all responders as a simple, efficient, reliable, proven and less energy consuming as well as a less costly measure. It is clearly the almost only mitigation technique used in a number of application sectors such as metering, alarms and automotive. In addition, battery-life considerations for battery operated equipment very often lead to duty cycle implementations. Some of the responders proposed to start discussions on even a new Low Duty Cycle category. Some others, stating NO, indicated that they would need also some higher, less restrictive duty cycle categories because of a somewhat higher transmit activity or to ensure a close to 100% throughput or identification rate. DC is not considered suitable for analogue audio applications with 100% transmit activity requirements</w:t>
      </w:r>
      <w:r>
        <w:t>.</w:t>
      </w:r>
    </w:p>
    <w:tbl>
      <w:tblPr>
        <w:tblW w:w="0" w:type="auto"/>
        <w:tblBorders>
          <w:top w:val="single" w:sz="4" w:space="0" w:color="D2232A"/>
          <w:left w:val="single" w:sz="4" w:space="0" w:color="D2232A"/>
          <w:bottom w:val="single" w:sz="4" w:space="0" w:color="D2232A"/>
          <w:right w:val="single" w:sz="4" w:space="0" w:color="D2232A"/>
          <w:insideH w:val="single" w:sz="4" w:space="0" w:color="D2232A"/>
          <w:insideV w:val="single" w:sz="4" w:space="0" w:color="D2232A"/>
        </w:tblBorders>
        <w:tblCellMar>
          <w:top w:w="11" w:type="dxa"/>
          <w:bottom w:w="11" w:type="dxa"/>
        </w:tblCellMar>
        <w:tblLook w:val="01E0" w:firstRow="1" w:lastRow="1" w:firstColumn="1" w:lastColumn="1" w:noHBand="0" w:noVBand="0"/>
      </w:tblPr>
      <w:tblGrid>
        <w:gridCol w:w="9855"/>
      </w:tblGrid>
      <w:tr w:rsidR="009E51D5" w:rsidRPr="00D00317" w:rsidTr="009E51D5">
        <w:trPr>
          <w:tblHeader/>
        </w:trPr>
        <w:tc>
          <w:tcPr>
            <w:tcW w:w="9855" w:type="dxa"/>
            <w:shd w:val="clear" w:color="auto" w:fill="D2232A"/>
            <w:vAlign w:val="center"/>
          </w:tcPr>
          <w:p w:rsidR="009E51D5" w:rsidRPr="00D52AE5" w:rsidRDefault="009E51D5" w:rsidP="004940CA">
            <w:pPr>
              <w:pStyle w:val="ECCParagraph"/>
              <w:jc w:val="center"/>
              <w:rPr>
                <w:b/>
                <w:color w:val="FFFFFF" w:themeColor="background1"/>
              </w:rPr>
            </w:pPr>
            <w:r w:rsidRPr="00D52AE5">
              <w:rPr>
                <w:b/>
                <w:color w:val="FFFFFF" w:themeColor="background1"/>
              </w:rPr>
              <w:t>Assessment</w:t>
            </w:r>
          </w:p>
        </w:tc>
      </w:tr>
      <w:tr w:rsidR="009E51D5" w:rsidRPr="00332FBB" w:rsidTr="009E51D5">
        <w:tc>
          <w:tcPr>
            <w:tcW w:w="9855" w:type="dxa"/>
            <w:vAlign w:val="center"/>
          </w:tcPr>
          <w:p w:rsidR="009E51D5" w:rsidRPr="00332FBB" w:rsidRDefault="004940CA" w:rsidP="004940CA">
            <w:pPr>
              <w:pStyle w:val="ECCParagraph"/>
            </w:pPr>
            <w:r>
              <w:t>C</w:t>
            </w:r>
            <w:r w:rsidR="009E51D5" w:rsidRPr="00332FBB">
              <w:t>onsider the results from ETSI STF411 on LDC (Low Duty Cycle). If duty cycle is used as the only sharing mechanism at a certain frequency, then higher duty cycles are not possible there. In such cases, other mitigation techniques or e.g. geographic separation might be needed as additional medium access requirement.</w:t>
            </w:r>
          </w:p>
        </w:tc>
      </w:tr>
    </w:tbl>
    <w:p w:rsidR="009E51D5" w:rsidRDefault="009E51D5" w:rsidP="009E51D5">
      <w:pPr>
        <w:rPr>
          <w:rFonts w:cs="Arial"/>
          <w:sz w:val="22"/>
          <w:szCs w:val="22"/>
        </w:rPr>
      </w:pPr>
    </w:p>
    <w:p w:rsidR="009E51D5" w:rsidRPr="00ED7BE1" w:rsidRDefault="009E51D5" w:rsidP="009E51D5">
      <w:pPr>
        <w:numPr>
          <w:ilvl w:val="0"/>
          <w:numId w:val="22"/>
        </w:numPr>
        <w:rPr>
          <w:rFonts w:cs="Arial"/>
          <w:b/>
          <w:bCs/>
        </w:rPr>
      </w:pPr>
      <w:r w:rsidRPr="00ED7BE1">
        <w:rPr>
          <w:rFonts w:cs="Arial"/>
          <w:b/>
          <w:bCs/>
        </w:rPr>
        <w:t>Others</w:t>
      </w:r>
    </w:p>
    <w:p w:rsidR="009E51D5" w:rsidRPr="00ED7BE1" w:rsidRDefault="009E51D5" w:rsidP="009E51D5">
      <w:pPr>
        <w:rPr>
          <w:rFonts w:cs="Arial"/>
          <w:b/>
          <w:bCs/>
        </w:rPr>
      </w:pPr>
    </w:p>
    <w:p w:rsidR="009E51D5" w:rsidRPr="00757358" w:rsidRDefault="009E51D5" w:rsidP="009E51D5">
      <w:pPr>
        <w:pStyle w:val="ECCParagraph"/>
      </w:pPr>
      <w:r w:rsidRPr="00757358">
        <w:t>Especially RFID reader manufacturers used this category to mention that they use the 4-reader channel UHF RFID utilisation plan as adopted in ERC/REC 70-03</w:t>
      </w:r>
      <w:r w:rsidR="00532580">
        <w:t xml:space="preserve"> </w:t>
      </w:r>
      <w:r w:rsidR="00532580">
        <w:fldChar w:fldCharType="begin"/>
      </w:r>
      <w:r w:rsidR="00532580">
        <w:instrText xml:space="preserve"> REF _Ref321997834 \r \h </w:instrText>
      </w:r>
      <w:r w:rsidR="00532580">
        <w:fldChar w:fldCharType="separate"/>
      </w:r>
      <w:r w:rsidR="001A06A7">
        <w:t>[1]</w:t>
      </w:r>
      <w:r w:rsidR="00532580">
        <w:fldChar w:fldCharType="end"/>
      </w:r>
      <w:r w:rsidRPr="00757358">
        <w:t>, ETSI EN 302</w:t>
      </w:r>
      <w:r w:rsidR="00532580">
        <w:t> </w:t>
      </w:r>
      <w:r w:rsidRPr="00757358">
        <w:t>208</w:t>
      </w:r>
      <w:r w:rsidR="00532580">
        <w:t xml:space="preserve"> </w:t>
      </w:r>
      <w:r w:rsidR="00532580">
        <w:fldChar w:fldCharType="begin"/>
      </w:r>
      <w:r w:rsidR="00532580">
        <w:instrText xml:space="preserve"> REF _Ref321998023 \r \h </w:instrText>
      </w:r>
      <w:r w:rsidR="00532580">
        <w:fldChar w:fldCharType="separate"/>
      </w:r>
      <w:r w:rsidR="001A06A7">
        <w:t>[4]</w:t>
      </w:r>
      <w:r w:rsidR="00532580">
        <w:fldChar w:fldCharType="end"/>
      </w:r>
      <w:r w:rsidRPr="00757358">
        <w:t xml:space="preserve"> as well as ISO 18000-</w:t>
      </w:r>
      <w:smartTag w:uri="urn:schemas-microsoft-com:office:smarttags" w:element="metricconverter">
        <w:smartTagPr>
          <w:attr w:name="ProductID" w:val="6C"/>
        </w:smartTagPr>
        <w:r w:rsidRPr="00757358">
          <w:t>6C</w:t>
        </w:r>
        <w:r w:rsidR="00532580">
          <w:t xml:space="preserve"> </w:t>
        </w:r>
      </w:smartTag>
      <w:r w:rsidR="00532580">
        <w:fldChar w:fldCharType="begin"/>
      </w:r>
      <w:r w:rsidR="00532580">
        <w:instrText xml:space="preserve"> REF _Ref321998033 \r \h </w:instrText>
      </w:r>
      <w:r w:rsidR="00532580">
        <w:fldChar w:fldCharType="separate"/>
      </w:r>
      <w:r w:rsidR="001A06A7">
        <w:t>[5]</w:t>
      </w:r>
      <w:r w:rsidR="00532580">
        <w:fldChar w:fldCharType="end"/>
      </w:r>
      <w:r w:rsidRPr="00757358">
        <w:t xml:space="preserve">. Three manufacturers indicated that they use user-defined “free” LBT or LBT+DC combinations (not exactly as standardised in </w:t>
      </w:r>
      <w:r w:rsidR="00532580">
        <w:t xml:space="preserve">ETSI </w:t>
      </w:r>
      <w:r w:rsidRPr="00757358">
        <w:t>EN 300</w:t>
      </w:r>
      <w:r w:rsidR="00532580">
        <w:t> </w:t>
      </w:r>
      <w:r w:rsidRPr="00757358">
        <w:t>220</w:t>
      </w:r>
      <w:r w:rsidR="00532580">
        <w:t xml:space="preserve"> </w:t>
      </w:r>
      <w:r w:rsidR="00532580">
        <w:fldChar w:fldCharType="begin"/>
      </w:r>
      <w:r w:rsidR="00532580">
        <w:instrText xml:space="preserve"> REF _Ref321997867 \r \h </w:instrText>
      </w:r>
      <w:r w:rsidR="00532580">
        <w:fldChar w:fldCharType="separate"/>
      </w:r>
      <w:r w:rsidR="001A06A7">
        <w:t>[2]</w:t>
      </w:r>
      <w:r w:rsidR="00532580">
        <w:fldChar w:fldCharType="end"/>
      </w:r>
      <w:r w:rsidRPr="00757358">
        <w:t>), one indicated to use a user-defined FHSS. Other mentionings included manual spectrum access (push-to-send) and coordinated random access algorisms. Some manufacturers provide systems with control channel capabilities using a TDMA spectrum access as in GSM and DECT, mainly to ensure close-to 100% throughput and absolutely predictable reaction time (e.g. alarms, industrial, and intrusion applications).</w:t>
      </w:r>
    </w:p>
    <w:p w:rsidR="009E51D5" w:rsidRPr="00BE2266" w:rsidRDefault="009E51D5" w:rsidP="009E51D5">
      <w:pPr>
        <w:pStyle w:val="ECCParagraph"/>
      </w:pPr>
      <w:r w:rsidRPr="00BE2266">
        <w:lastRenderedPageBreak/>
        <w:t>The South African regulator indicated that for now their spectrum access mechanisms are limited to LBT+AFA and DC. The industry there was mostly compliant and follows CEPT and ETSI as regulated by ICASA.</w:t>
      </w:r>
    </w:p>
    <w:tbl>
      <w:tblPr>
        <w:tblW w:w="0" w:type="auto"/>
        <w:tblBorders>
          <w:top w:val="single" w:sz="4" w:space="0" w:color="D2232A"/>
          <w:left w:val="single" w:sz="4" w:space="0" w:color="D2232A"/>
          <w:bottom w:val="single" w:sz="4" w:space="0" w:color="D2232A"/>
          <w:right w:val="single" w:sz="4" w:space="0" w:color="D2232A"/>
          <w:insideH w:val="single" w:sz="4" w:space="0" w:color="D2232A"/>
          <w:insideV w:val="single" w:sz="4" w:space="0" w:color="D2232A"/>
        </w:tblBorders>
        <w:tblCellMar>
          <w:top w:w="11" w:type="dxa"/>
          <w:bottom w:w="11" w:type="dxa"/>
        </w:tblCellMar>
        <w:tblLook w:val="01E0" w:firstRow="1" w:lastRow="1" w:firstColumn="1" w:lastColumn="1" w:noHBand="0" w:noVBand="0"/>
      </w:tblPr>
      <w:tblGrid>
        <w:gridCol w:w="9855"/>
      </w:tblGrid>
      <w:tr w:rsidR="009E51D5" w:rsidRPr="00116031" w:rsidTr="009E51D5">
        <w:trPr>
          <w:tblHeader/>
        </w:trPr>
        <w:tc>
          <w:tcPr>
            <w:tcW w:w="9855" w:type="dxa"/>
            <w:shd w:val="clear" w:color="auto" w:fill="D2232A"/>
            <w:vAlign w:val="center"/>
          </w:tcPr>
          <w:p w:rsidR="009E51D5" w:rsidRPr="00116031" w:rsidRDefault="009E51D5" w:rsidP="004940CA">
            <w:pPr>
              <w:pStyle w:val="ECCParagraph"/>
              <w:jc w:val="center"/>
              <w:rPr>
                <w:b/>
                <w:color w:val="FFFFFF" w:themeColor="background1"/>
              </w:rPr>
            </w:pPr>
            <w:r w:rsidRPr="00116031">
              <w:rPr>
                <w:b/>
                <w:color w:val="FFFFFF" w:themeColor="background1"/>
              </w:rPr>
              <w:t>Assessment</w:t>
            </w:r>
          </w:p>
        </w:tc>
      </w:tr>
      <w:tr w:rsidR="009E51D5" w:rsidRPr="00332FBB" w:rsidTr="009E51D5">
        <w:tc>
          <w:tcPr>
            <w:tcW w:w="9855" w:type="dxa"/>
            <w:vAlign w:val="center"/>
          </w:tcPr>
          <w:p w:rsidR="009E51D5" w:rsidRPr="00757358" w:rsidRDefault="009E51D5" w:rsidP="009E51D5">
            <w:pPr>
              <w:pStyle w:val="ECCParagraph"/>
            </w:pPr>
            <w:r w:rsidRPr="00757358">
              <w:t>Mitigations defined in ETSI EN 300</w:t>
            </w:r>
            <w:r w:rsidR="00532580">
              <w:t> </w:t>
            </w:r>
            <w:r w:rsidRPr="00757358">
              <w:t>220</w:t>
            </w:r>
            <w:r w:rsidR="00532580">
              <w:t xml:space="preserve"> </w:t>
            </w:r>
            <w:r w:rsidR="00532580">
              <w:fldChar w:fldCharType="begin"/>
            </w:r>
            <w:r w:rsidR="00532580">
              <w:instrText xml:space="preserve"> REF _Ref321997867 \r \h </w:instrText>
            </w:r>
            <w:r w:rsidR="00532580">
              <w:fldChar w:fldCharType="separate"/>
            </w:r>
            <w:r w:rsidR="001A06A7">
              <w:t>[2]</w:t>
            </w:r>
            <w:r w:rsidR="00532580">
              <w:fldChar w:fldCharType="end"/>
            </w:r>
            <w:r w:rsidRPr="00757358">
              <w:t xml:space="preserve"> do not provide a solution for everybody. There are solutions such as user-defined LBT mechanisms.  The freedom to define such user-defined mitigation mechanisms should be kept while ensuring that the mitigation effect is at least equivalent or better.</w:t>
            </w:r>
          </w:p>
        </w:tc>
      </w:tr>
    </w:tbl>
    <w:p w:rsidR="009E51D5" w:rsidRDefault="009E51D5" w:rsidP="009E51D5">
      <w:pPr>
        <w:pStyle w:val="ECCParagraph"/>
        <w:spacing w:after="0"/>
        <w:rPr>
          <w:lang w:val="en-US"/>
        </w:rPr>
      </w:pPr>
    </w:p>
    <w:p w:rsidR="009E51D5" w:rsidRPr="00E41D61" w:rsidRDefault="009E51D5" w:rsidP="009E51D5">
      <w:pPr>
        <w:pStyle w:val="ECCParagraph"/>
        <w:keepNext/>
        <w:keepLines/>
        <w:spacing w:after="0"/>
        <w:rPr>
          <w:b/>
        </w:rPr>
      </w:pPr>
      <w:r w:rsidRPr="00E41D61">
        <w:rPr>
          <w:b/>
        </w:rPr>
        <w:t>Question 8:</w:t>
      </w:r>
    </w:p>
    <w:p w:rsidR="009E51D5" w:rsidRDefault="009E51D5" w:rsidP="009E51D5">
      <w:pPr>
        <w:pStyle w:val="ECCParagraph"/>
        <w:keepNext/>
        <w:keepLines/>
        <w:spacing w:after="0"/>
        <w:rPr>
          <w:b/>
        </w:rPr>
      </w:pPr>
      <w:r w:rsidRPr="00E41D61">
        <w:rPr>
          <w:b/>
        </w:rPr>
        <w:t>Do you have knowledge of situations where the normal operation of your SRD application/device is affected by congestion of the spectrum or harmful interference?</w:t>
      </w:r>
    </w:p>
    <w:p w:rsidR="009E51D5" w:rsidRPr="00E41D61" w:rsidRDefault="009E51D5" w:rsidP="009E51D5">
      <w:pPr>
        <w:pStyle w:val="ECCParagraph"/>
        <w:keepNext/>
        <w:keepLines/>
        <w:spacing w:after="0"/>
        <w:rPr>
          <w:b/>
        </w:rPr>
      </w:pPr>
    </w:p>
    <w:p w:rsidR="009E51D5" w:rsidRDefault="009E51D5" w:rsidP="009E51D5">
      <w:pPr>
        <w:pStyle w:val="ECCParagraph"/>
      </w:pPr>
      <w:r w:rsidRPr="00757358">
        <w:t>34 responders answers YES which represents a slight majority of all responses received.</w:t>
      </w:r>
    </w:p>
    <w:p w:rsidR="009E51D5" w:rsidRPr="00ED7BE1" w:rsidRDefault="009E51D5" w:rsidP="009E51D5">
      <w:pPr>
        <w:jc w:val="center"/>
        <w:rPr>
          <w:rFonts w:cs="Arial"/>
          <w:b/>
          <w:bCs/>
        </w:rPr>
      </w:pPr>
      <w:r>
        <w:rPr>
          <w:rFonts w:cs="Arial"/>
          <w:bCs/>
          <w:noProof/>
          <w:lang w:val="da-DK" w:eastAsia="da-DK"/>
        </w:rPr>
        <w:drawing>
          <wp:inline distT="0" distB="0" distL="0" distR="0" wp14:anchorId="271E50DB" wp14:editId="5110A3CB">
            <wp:extent cx="3111500" cy="1828800"/>
            <wp:effectExtent l="0" t="0" r="0" b="0"/>
            <wp:docPr id="28" name="Chart 2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9E51D5" w:rsidRDefault="009E51D5" w:rsidP="009E51D5">
      <w:pPr>
        <w:pStyle w:val="Footer"/>
        <w:rPr>
          <w:b/>
        </w:rPr>
      </w:pPr>
    </w:p>
    <w:p w:rsidR="009E51D5" w:rsidRPr="00ED7BE1" w:rsidRDefault="009E51D5" w:rsidP="009E51D5">
      <w:pPr>
        <w:pStyle w:val="Caption"/>
      </w:pPr>
      <w:r>
        <w:t xml:space="preserve">Figure </w:t>
      </w:r>
      <w:r>
        <w:fldChar w:fldCharType="begin"/>
      </w:r>
      <w:r>
        <w:instrText xml:space="preserve"> SEQ Figure \* ARABIC </w:instrText>
      </w:r>
      <w:r>
        <w:fldChar w:fldCharType="separate"/>
      </w:r>
      <w:r w:rsidR="001A06A7">
        <w:rPr>
          <w:noProof/>
        </w:rPr>
        <w:t>12</w:t>
      </w:r>
      <w:r>
        <w:fldChar w:fldCharType="end"/>
      </w:r>
      <w:r w:rsidRPr="00ED7BE1">
        <w:t xml:space="preserve">: Experience with interference </w:t>
      </w:r>
    </w:p>
    <w:p w:rsidR="009E51D5" w:rsidRPr="00757358" w:rsidRDefault="009E51D5" w:rsidP="009E51D5">
      <w:pPr>
        <w:pStyle w:val="ECCParagraph"/>
      </w:pPr>
      <w:r w:rsidRPr="00757358">
        <w:t xml:space="preserve">However, almost all depict the occurrences of harmful interferences as rare and occasional. </w:t>
      </w:r>
    </w:p>
    <w:p w:rsidR="009E51D5" w:rsidRPr="00757358" w:rsidRDefault="009E51D5" w:rsidP="009E51D5">
      <w:pPr>
        <w:pStyle w:val="ECCParagraph"/>
      </w:pPr>
      <w:r w:rsidRPr="00757358">
        <w:t>Most of the reported interference cases were evaluated.</w:t>
      </w:r>
    </w:p>
    <w:p w:rsidR="009E51D5" w:rsidRPr="00ED7BE1" w:rsidRDefault="009E51D5" w:rsidP="009E51D5">
      <w:pPr>
        <w:pStyle w:val="ECCParagraph"/>
        <w:spacing w:after="120"/>
      </w:pPr>
      <w:r w:rsidRPr="00757358">
        <w:t>Reasons for such occurrences were experienced as follows</w:t>
      </w:r>
      <w:r w:rsidRPr="00ED7BE1">
        <w:t>:</w:t>
      </w:r>
    </w:p>
    <w:p w:rsidR="009E51D5" w:rsidRPr="00757358" w:rsidRDefault="009E51D5" w:rsidP="008F612F">
      <w:pPr>
        <w:pStyle w:val="ECCParBulleted"/>
        <w:numPr>
          <w:ilvl w:val="0"/>
          <w:numId w:val="35"/>
        </w:numPr>
        <w:spacing w:after="120"/>
        <w:rPr>
          <w:szCs w:val="20"/>
        </w:rPr>
      </w:pPr>
      <w:r w:rsidRPr="00757358">
        <w:rPr>
          <w:szCs w:val="20"/>
        </w:rPr>
        <w:t>Too dense or too close operation (e.g. in RFID dense reader mode) and not sufficient distance to other SRD transmitters operating at the same frequency;</w:t>
      </w:r>
    </w:p>
    <w:p w:rsidR="009E51D5" w:rsidRPr="00757358" w:rsidRDefault="009E51D5" w:rsidP="008F612F">
      <w:pPr>
        <w:pStyle w:val="ECCParBulleted"/>
        <w:numPr>
          <w:ilvl w:val="0"/>
          <w:numId w:val="35"/>
        </w:numPr>
        <w:spacing w:after="120"/>
        <w:rPr>
          <w:szCs w:val="20"/>
        </w:rPr>
      </w:pPr>
      <w:r w:rsidRPr="00757358">
        <w:rPr>
          <w:szCs w:val="20"/>
        </w:rPr>
        <w:t>Lower power SRD interfered by higher power RFID.</w:t>
      </w:r>
    </w:p>
    <w:p w:rsidR="009E51D5" w:rsidRPr="00757358" w:rsidRDefault="009E51D5" w:rsidP="008F612F">
      <w:pPr>
        <w:pStyle w:val="ECCParBulleted"/>
        <w:numPr>
          <w:ilvl w:val="0"/>
          <w:numId w:val="35"/>
        </w:numPr>
        <w:spacing w:after="120"/>
        <w:rPr>
          <w:szCs w:val="20"/>
        </w:rPr>
      </w:pPr>
      <w:r w:rsidRPr="00757358">
        <w:rPr>
          <w:szCs w:val="20"/>
        </w:rPr>
        <w:t>Disturbances from IT equipment or heating equipment;</w:t>
      </w:r>
    </w:p>
    <w:p w:rsidR="009E51D5" w:rsidRPr="00757358" w:rsidRDefault="009E51D5" w:rsidP="008F612F">
      <w:pPr>
        <w:pStyle w:val="ECCParBulleted"/>
        <w:numPr>
          <w:ilvl w:val="0"/>
          <w:numId w:val="35"/>
        </w:numPr>
        <w:spacing w:after="120"/>
        <w:rPr>
          <w:rFonts w:cs="Arial"/>
          <w:bCs/>
          <w:szCs w:val="20"/>
          <w:lang w:val="en-US"/>
        </w:rPr>
      </w:pPr>
      <w:r w:rsidRPr="00757358">
        <w:rPr>
          <w:rFonts w:cs="Arial"/>
          <w:bCs/>
          <w:szCs w:val="20"/>
          <w:lang w:val="en-US"/>
        </w:rPr>
        <w:t>Interference from wireless audio equipment operating in the adjacent spectrum;</w:t>
      </w:r>
    </w:p>
    <w:p w:rsidR="009E51D5" w:rsidRPr="00757358" w:rsidRDefault="009E51D5" w:rsidP="008F612F">
      <w:pPr>
        <w:pStyle w:val="ECCParBulleted"/>
        <w:numPr>
          <w:ilvl w:val="0"/>
          <w:numId w:val="35"/>
        </w:numPr>
        <w:spacing w:after="120"/>
        <w:rPr>
          <w:rFonts w:cs="Arial"/>
          <w:bCs/>
          <w:szCs w:val="20"/>
          <w:lang w:val="en-US"/>
        </w:rPr>
      </w:pPr>
      <w:r w:rsidRPr="00757358">
        <w:rPr>
          <w:rFonts w:cs="Arial"/>
          <w:bCs/>
          <w:szCs w:val="20"/>
          <w:lang w:val="en-US"/>
        </w:rPr>
        <w:t>false triggering of the LBT;</w:t>
      </w:r>
    </w:p>
    <w:p w:rsidR="009E51D5" w:rsidRPr="00757358" w:rsidRDefault="009E51D5" w:rsidP="008F612F">
      <w:pPr>
        <w:pStyle w:val="ECCParBulleted"/>
        <w:numPr>
          <w:ilvl w:val="0"/>
          <w:numId w:val="35"/>
        </w:numPr>
        <w:spacing w:after="120"/>
        <w:rPr>
          <w:rFonts w:cs="Arial"/>
          <w:bCs/>
          <w:szCs w:val="20"/>
          <w:lang w:val="en-US"/>
        </w:rPr>
      </w:pPr>
      <w:r w:rsidRPr="00757358">
        <w:rPr>
          <w:rFonts w:cs="Arial"/>
          <w:bCs/>
          <w:szCs w:val="20"/>
          <w:lang w:val="en-US"/>
        </w:rPr>
        <w:t>RFID experiencing temporary performance degradation;</w:t>
      </w:r>
    </w:p>
    <w:p w:rsidR="009E51D5" w:rsidRPr="00757358" w:rsidRDefault="009E51D5" w:rsidP="008F612F">
      <w:pPr>
        <w:pStyle w:val="ECCParBulleted"/>
        <w:numPr>
          <w:ilvl w:val="0"/>
          <w:numId w:val="35"/>
        </w:numPr>
        <w:spacing w:after="120"/>
        <w:rPr>
          <w:rFonts w:cs="Arial"/>
          <w:bCs/>
          <w:szCs w:val="20"/>
          <w:lang w:val="en-US"/>
        </w:rPr>
      </w:pPr>
      <w:r w:rsidRPr="00757358">
        <w:rPr>
          <w:rFonts w:cs="Arial"/>
          <w:bCs/>
          <w:szCs w:val="20"/>
          <w:lang w:val="en-US"/>
        </w:rPr>
        <w:t>SRD operating locations in public mobile “hotspots” or “spillage zones” suffering from unwanted emissions from mobile stations operating in 880-915 MHz.</w:t>
      </w:r>
    </w:p>
    <w:p w:rsidR="009E51D5" w:rsidRPr="00ED7BE1" w:rsidRDefault="009E51D5" w:rsidP="009E51D5">
      <w:pPr>
        <w:pStyle w:val="ECCParagraph"/>
        <w:spacing w:after="120"/>
      </w:pPr>
      <w:r w:rsidRPr="00ED7BE1">
        <w:t>The measures to improve the interference situation were stated as follows:</w:t>
      </w:r>
    </w:p>
    <w:p w:rsidR="009E51D5" w:rsidRPr="00ED7BE1" w:rsidRDefault="009E51D5" w:rsidP="008F612F">
      <w:pPr>
        <w:pStyle w:val="ECCParBulleted"/>
        <w:numPr>
          <w:ilvl w:val="0"/>
          <w:numId w:val="34"/>
        </w:numPr>
        <w:spacing w:after="120"/>
      </w:pPr>
      <w:r w:rsidRPr="00ED7BE1">
        <w:t>shift to another frequency of operation;</w:t>
      </w:r>
    </w:p>
    <w:p w:rsidR="009E51D5" w:rsidRPr="00ED7BE1" w:rsidRDefault="009E51D5" w:rsidP="008F612F">
      <w:pPr>
        <w:pStyle w:val="ECCParBulleted"/>
        <w:numPr>
          <w:ilvl w:val="0"/>
          <w:numId w:val="34"/>
        </w:numPr>
        <w:spacing w:after="120"/>
      </w:pPr>
      <w:r w:rsidRPr="00ED7BE1">
        <w:t>additional bandwidth and/or more channel spacing;</w:t>
      </w:r>
    </w:p>
    <w:p w:rsidR="009E51D5" w:rsidRPr="00ED7BE1" w:rsidRDefault="009E51D5" w:rsidP="008F612F">
      <w:pPr>
        <w:pStyle w:val="ECCParBulleted"/>
        <w:numPr>
          <w:ilvl w:val="0"/>
          <w:numId w:val="34"/>
        </w:numPr>
        <w:spacing w:after="120"/>
      </w:pPr>
      <w:r w:rsidRPr="00ED7BE1">
        <w:t>reduce power of the interferer;</w:t>
      </w:r>
    </w:p>
    <w:p w:rsidR="009E51D5" w:rsidRPr="00ED7BE1" w:rsidRDefault="009E51D5" w:rsidP="008F612F">
      <w:pPr>
        <w:pStyle w:val="ECCParBulleted"/>
        <w:numPr>
          <w:ilvl w:val="0"/>
          <w:numId w:val="34"/>
        </w:numPr>
        <w:spacing w:after="120"/>
      </w:pPr>
      <w:r w:rsidRPr="00ED7BE1">
        <w:t>remove defective device;</w:t>
      </w:r>
    </w:p>
    <w:p w:rsidR="009E51D5" w:rsidRPr="00ED7BE1" w:rsidRDefault="009E51D5" w:rsidP="008F612F">
      <w:pPr>
        <w:pStyle w:val="ECCParBulleted"/>
        <w:numPr>
          <w:ilvl w:val="0"/>
          <w:numId w:val="36"/>
        </w:numPr>
        <w:spacing w:after="120"/>
      </w:pPr>
      <w:r w:rsidRPr="00ED7BE1">
        <w:lastRenderedPageBreak/>
        <w:t>add pre-filter in the reception path;</w:t>
      </w:r>
    </w:p>
    <w:p w:rsidR="009E51D5" w:rsidRPr="00ED7BE1" w:rsidRDefault="009E51D5" w:rsidP="008F612F">
      <w:pPr>
        <w:pStyle w:val="ECCParBulleted"/>
        <w:numPr>
          <w:ilvl w:val="0"/>
          <w:numId w:val="36"/>
        </w:numPr>
        <w:spacing w:after="120"/>
      </w:pPr>
      <w:r w:rsidRPr="00ED7BE1">
        <w:t>increase frequency agility;</w:t>
      </w:r>
    </w:p>
    <w:p w:rsidR="009E51D5" w:rsidRDefault="009E51D5" w:rsidP="008F612F">
      <w:pPr>
        <w:pStyle w:val="ECCParBulleted"/>
        <w:numPr>
          <w:ilvl w:val="0"/>
          <w:numId w:val="36"/>
        </w:numPr>
        <w:spacing w:after="120"/>
      </w:pPr>
      <w:r w:rsidRPr="00ED7BE1">
        <w:t>switch</w:t>
      </w:r>
      <w:r>
        <w:t xml:space="preserve"> </w:t>
      </w:r>
      <w:r w:rsidRPr="00ED7BE1">
        <w:t>off the interferer</w:t>
      </w:r>
      <w:r>
        <w:t>.</w:t>
      </w:r>
    </w:p>
    <w:p w:rsidR="009E51D5" w:rsidRDefault="009E51D5" w:rsidP="009E51D5">
      <w:pPr>
        <w:pStyle w:val="ECCParBulleted"/>
        <w:numPr>
          <w:ilvl w:val="0"/>
          <w:numId w:val="0"/>
        </w:numPr>
        <w:spacing w:after="120"/>
        <w:ind w:left="340" w:hanging="340"/>
      </w:pPr>
    </w:p>
    <w:tbl>
      <w:tblPr>
        <w:tblW w:w="0" w:type="auto"/>
        <w:tblBorders>
          <w:top w:val="single" w:sz="4" w:space="0" w:color="D2232A"/>
          <w:left w:val="single" w:sz="4" w:space="0" w:color="D2232A"/>
          <w:bottom w:val="single" w:sz="4" w:space="0" w:color="D2232A"/>
          <w:right w:val="single" w:sz="4" w:space="0" w:color="D2232A"/>
          <w:insideH w:val="single" w:sz="4" w:space="0" w:color="D2232A"/>
          <w:insideV w:val="single" w:sz="4" w:space="0" w:color="D2232A"/>
        </w:tblBorders>
        <w:tblCellMar>
          <w:top w:w="11" w:type="dxa"/>
          <w:bottom w:w="11" w:type="dxa"/>
        </w:tblCellMar>
        <w:tblLook w:val="01E0" w:firstRow="1" w:lastRow="1" w:firstColumn="1" w:lastColumn="1" w:noHBand="0" w:noVBand="0"/>
      </w:tblPr>
      <w:tblGrid>
        <w:gridCol w:w="9855"/>
      </w:tblGrid>
      <w:tr w:rsidR="009E51D5" w:rsidRPr="00D00317" w:rsidTr="009E51D5">
        <w:trPr>
          <w:tblHeader/>
        </w:trPr>
        <w:tc>
          <w:tcPr>
            <w:tcW w:w="9855" w:type="dxa"/>
            <w:shd w:val="clear" w:color="auto" w:fill="D2232A"/>
            <w:vAlign w:val="center"/>
          </w:tcPr>
          <w:p w:rsidR="009E51D5" w:rsidRPr="00116031" w:rsidRDefault="009E51D5" w:rsidP="004940CA">
            <w:pPr>
              <w:pStyle w:val="ECCParagraph"/>
              <w:jc w:val="center"/>
              <w:rPr>
                <w:b/>
                <w:color w:val="FFFFFF" w:themeColor="background1"/>
              </w:rPr>
            </w:pPr>
            <w:r w:rsidRPr="00116031">
              <w:rPr>
                <w:b/>
                <w:color w:val="FFFFFF" w:themeColor="background1"/>
              </w:rPr>
              <w:t>Assessment</w:t>
            </w:r>
          </w:p>
        </w:tc>
      </w:tr>
      <w:tr w:rsidR="009E51D5" w:rsidRPr="00757358" w:rsidTr="009E51D5">
        <w:tc>
          <w:tcPr>
            <w:tcW w:w="9855" w:type="dxa"/>
            <w:vAlign w:val="center"/>
          </w:tcPr>
          <w:p w:rsidR="009E51D5" w:rsidRPr="00116031" w:rsidRDefault="009E51D5" w:rsidP="004940CA">
            <w:pPr>
              <w:pStyle w:val="ECCParagraph"/>
            </w:pPr>
            <w:r w:rsidRPr="00116031">
              <w:t>The existing situation seems acceptable. It was also noted that the draft revised R&amp;TTE directive acknowledges the importance of the receiver performance on the efficient use of spectrum. A number of interference cases are the result of the receiver performance. Increased future SRD usage densities and the change in the noise environment may increase interference problems (e.g. LTE mobile station unwanted emissions in adjacent frequency bands).</w:t>
            </w:r>
          </w:p>
        </w:tc>
      </w:tr>
    </w:tbl>
    <w:p w:rsidR="009E51D5" w:rsidRDefault="009E51D5" w:rsidP="009E51D5">
      <w:pPr>
        <w:pStyle w:val="ECCParagraph"/>
        <w:spacing w:after="0"/>
        <w:rPr>
          <w:lang w:val="en-US"/>
        </w:rPr>
      </w:pPr>
    </w:p>
    <w:p w:rsidR="009E51D5" w:rsidRPr="00E41D61" w:rsidRDefault="009E51D5" w:rsidP="009E51D5">
      <w:pPr>
        <w:pStyle w:val="ECCParagraph"/>
        <w:spacing w:after="0"/>
        <w:rPr>
          <w:b/>
        </w:rPr>
      </w:pPr>
      <w:r w:rsidRPr="00E41D61">
        <w:rPr>
          <w:b/>
        </w:rPr>
        <w:t xml:space="preserve">Question 9: </w:t>
      </w:r>
    </w:p>
    <w:p w:rsidR="009E51D5" w:rsidRDefault="009E51D5" w:rsidP="009E51D5">
      <w:pPr>
        <w:pStyle w:val="ECCParagraph"/>
        <w:spacing w:after="0"/>
      </w:pPr>
      <w:r w:rsidRPr="00E41D61">
        <w:rPr>
          <w:b/>
        </w:rPr>
        <w:t>If you are producing products for the world market, how important is harmonisation between different regions to you</w:t>
      </w:r>
      <w:r w:rsidRPr="00ED7BE1">
        <w:t>.</w:t>
      </w:r>
    </w:p>
    <w:p w:rsidR="009E51D5" w:rsidRPr="00ED7BE1" w:rsidRDefault="009E51D5" w:rsidP="009E51D5">
      <w:pPr>
        <w:pStyle w:val="ECCParagraph"/>
        <w:spacing w:after="0"/>
      </w:pPr>
    </w:p>
    <w:p w:rsidR="009E51D5" w:rsidRPr="00ED7BE1" w:rsidRDefault="009E51D5" w:rsidP="009E51D5">
      <w:pPr>
        <w:pStyle w:val="ECCParagraph"/>
      </w:pPr>
      <w:r w:rsidRPr="00ED7BE1">
        <w:t>64 responses clearly emphasized the importance on harmonisation between different regions.</w:t>
      </w:r>
    </w:p>
    <w:p w:rsidR="009E51D5" w:rsidRPr="00ED7BE1" w:rsidRDefault="009E51D5" w:rsidP="009E51D5">
      <w:pPr>
        <w:rPr>
          <w:rFonts w:cs="Arial"/>
          <w:b/>
          <w:bCs/>
        </w:rPr>
      </w:pPr>
    </w:p>
    <w:p w:rsidR="009E51D5" w:rsidRPr="00ED7BE1" w:rsidRDefault="009E51D5" w:rsidP="009E51D5">
      <w:pPr>
        <w:jc w:val="center"/>
        <w:rPr>
          <w:rFonts w:cs="Arial"/>
          <w:b/>
          <w:bCs/>
        </w:rPr>
      </w:pPr>
      <w:r>
        <w:rPr>
          <w:rFonts w:cs="Arial"/>
          <w:bCs/>
          <w:noProof/>
          <w:lang w:val="da-DK" w:eastAsia="da-DK"/>
        </w:rPr>
        <w:drawing>
          <wp:inline distT="0" distB="0" distL="0" distR="0" wp14:anchorId="06689278" wp14:editId="74C7B266">
            <wp:extent cx="3111500" cy="1828800"/>
            <wp:effectExtent l="0" t="0" r="0" b="0"/>
            <wp:docPr id="31" name="Chart 3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9E51D5" w:rsidRPr="00ED7BE1" w:rsidRDefault="009E51D5" w:rsidP="009E51D5">
      <w:pPr>
        <w:pStyle w:val="Caption"/>
      </w:pPr>
      <w:r>
        <w:t xml:space="preserve">Figure </w:t>
      </w:r>
      <w:r>
        <w:fldChar w:fldCharType="begin"/>
      </w:r>
      <w:r>
        <w:instrText xml:space="preserve"> SEQ Figure \* ARABIC </w:instrText>
      </w:r>
      <w:r>
        <w:fldChar w:fldCharType="separate"/>
      </w:r>
      <w:r w:rsidR="001A06A7">
        <w:rPr>
          <w:noProof/>
        </w:rPr>
        <w:t>13</w:t>
      </w:r>
      <w:r>
        <w:fldChar w:fldCharType="end"/>
      </w:r>
      <w:r w:rsidRPr="00ED7BE1">
        <w:t>: Importance of</w:t>
      </w:r>
      <w:r w:rsidRPr="00E41D61">
        <w:rPr>
          <w:lang w:val="en-GB"/>
        </w:rPr>
        <w:t xml:space="preserve"> harmonisation</w:t>
      </w:r>
    </w:p>
    <w:p w:rsidR="009E51D5" w:rsidRPr="00ED7BE1" w:rsidRDefault="009E51D5" w:rsidP="009E51D5">
      <w:pPr>
        <w:pStyle w:val="ECCParagraph"/>
      </w:pPr>
      <w:r w:rsidRPr="00ED7BE1">
        <w:t>The main reason is the economic consideration (economy-of-scale) and the possibility to reduce costs. Especially the industrial and automotive industry stressed this point where the radio devices are only used as secondary feature of the end product which is normally machines or cars.</w:t>
      </w:r>
    </w:p>
    <w:p w:rsidR="009E51D5" w:rsidRPr="00ED7BE1" w:rsidRDefault="009E51D5" w:rsidP="009E51D5">
      <w:pPr>
        <w:pStyle w:val="ECCParagraph"/>
      </w:pPr>
      <w:r w:rsidRPr="00ED7BE1">
        <w:t>However, some declared global harmonisation of the frequency utilisation conditions as being wishful thinking (“a dream”) and almost impossible to achieve. Even if the frequency utilization would be harmonised, local application standards would often need to be adopted.  Therefore, at least a European ha</w:t>
      </w:r>
      <w:r>
        <w:t>rmonisation would be needed.</w:t>
      </w:r>
    </w:p>
    <w:p w:rsidR="009E51D5" w:rsidRDefault="009E51D5" w:rsidP="009E51D5">
      <w:pPr>
        <w:pStyle w:val="ECCParagraph"/>
      </w:pPr>
      <w:r w:rsidRPr="00ED7BE1">
        <w:t>The differences between the USA and Europe were several times mentioned in answers as a particular problem. Having smaller differences in the exact frequency utilisation in the 800/900 MHz range for SRDs and RFIDs between the USA and Europe could avoid the need of using different antennas.</w:t>
      </w:r>
    </w:p>
    <w:tbl>
      <w:tblPr>
        <w:tblW w:w="0" w:type="auto"/>
        <w:tblBorders>
          <w:top w:val="single" w:sz="4" w:space="0" w:color="D2232A"/>
          <w:left w:val="single" w:sz="4" w:space="0" w:color="D2232A"/>
          <w:bottom w:val="single" w:sz="4" w:space="0" w:color="D2232A"/>
          <w:right w:val="single" w:sz="4" w:space="0" w:color="D2232A"/>
          <w:insideH w:val="single" w:sz="4" w:space="0" w:color="D2232A"/>
          <w:insideV w:val="single" w:sz="4" w:space="0" w:color="D2232A"/>
        </w:tblBorders>
        <w:tblCellMar>
          <w:top w:w="11" w:type="dxa"/>
          <w:bottom w:w="11" w:type="dxa"/>
        </w:tblCellMar>
        <w:tblLook w:val="01E0" w:firstRow="1" w:lastRow="1" w:firstColumn="1" w:lastColumn="1" w:noHBand="0" w:noVBand="0"/>
      </w:tblPr>
      <w:tblGrid>
        <w:gridCol w:w="9855"/>
      </w:tblGrid>
      <w:tr w:rsidR="009E51D5" w:rsidRPr="00116031" w:rsidTr="009E51D5">
        <w:trPr>
          <w:tblHeader/>
        </w:trPr>
        <w:tc>
          <w:tcPr>
            <w:tcW w:w="9855" w:type="dxa"/>
            <w:shd w:val="clear" w:color="auto" w:fill="D2232A"/>
            <w:vAlign w:val="center"/>
          </w:tcPr>
          <w:p w:rsidR="009E51D5" w:rsidRPr="00116031" w:rsidRDefault="009E51D5" w:rsidP="004940CA">
            <w:pPr>
              <w:pStyle w:val="ECCParagraph"/>
              <w:jc w:val="center"/>
              <w:rPr>
                <w:b/>
                <w:color w:val="FFFFFF" w:themeColor="background1"/>
              </w:rPr>
            </w:pPr>
            <w:r w:rsidRPr="00116031">
              <w:rPr>
                <w:b/>
                <w:color w:val="FFFFFF" w:themeColor="background1"/>
              </w:rPr>
              <w:t>Assessment</w:t>
            </w:r>
          </w:p>
        </w:tc>
      </w:tr>
      <w:tr w:rsidR="009E51D5" w:rsidRPr="00757358" w:rsidTr="009E51D5">
        <w:tc>
          <w:tcPr>
            <w:tcW w:w="9855" w:type="dxa"/>
            <w:vAlign w:val="center"/>
          </w:tcPr>
          <w:p w:rsidR="009E51D5" w:rsidRPr="00116031" w:rsidRDefault="009E51D5" w:rsidP="009E51D5">
            <w:pPr>
              <w:pStyle w:val="ECCParagraph"/>
            </w:pPr>
            <w:r w:rsidRPr="00116031">
              <w:t xml:space="preserve">Worldwide harmonisation is seen as important in </w:t>
            </w:r>
            <w:r>
              <w:t>particular for RFID application</w:t>
            </w:r>
            <w:r w:rsidRPr="00116031">
              <w:t xml:space="preserve">; in particular studying frequencies in 915-921 MHz would support the idea of global harmonisation. </w:t>
            </w:r>
          </w:p>
          <w:p w:rsidR="009E51D5" w:rsidRPr="00757358" w:rsidRDefault="009E51D5" w:rsidP="004940CA">
            <w:pPr>
              <w:pStyle w:val="ECCParagraph"/>
            </w:pPr>
            <w:r w:rsidRPr="00116031">
              <w:rPr>
                <w:lang w:val="en-US"/>
              </w:rPr>
              <w:t>This clear result seems also supporting actions towards the ITU-R.</w:t>
            </w:r>
          </w:p>
        </w:tc>
      </w:tr>
    </w:tbl>
    <w:p w:rsidR="009E51D5" w:rsidRPr="00116031" w:rsidRDefault="009E51D5" w:rsidP="009E51D5">
      <w:pPr>
        <w:pStyle w:val="ECCParagraph"/>
        <w:spacing w:after="0"/>
        <w:rPr>
          <w:lang w:val="en-US"/>
        </w:rPr>
      </w:pPr>
    </w:p>
    <w:p w:rsidR="009E51D5" w:rsidRDefault="009E51D5" w:rsidP="009E51D5">
      <w:pPr>
        <w:rPr>
          <w:rFonts w:cs="Arial"/>
          <w:b/>
          <w:bCs/>
        </w:rPr>
      </w:pPr>
      <w:r w:rsidRPr="00ED7BE1">
        <w:rPr>
          <w:rFonts w:cs="Arial"/>
          <w:b/>
          <w:bCs/>
        </w:rPr>
        <w:lastRenderedPageBreak/>
        <w:t>Question 10:</w:t>
      </w:r>
    </w:p>
    <w:p w:rsidR="009E51D5" w:rsidRDefault="009E51D5" w:rsidP="009E51D5">
      <w:pPr>
        <w:rPr>
          <w:rFonts w:cs="Arial"/>
          <w:b/>
          <w:bCs/>
        </w:rPr>
      </w:pPr>
      <w:r w:rsidRPr="00ED7BE1">
        <w:rPr>
          <w:rFonts w:cs="Arial"/>
          <w:b/>
          <w:bCs/>
        </w:rPr>
        <w:t>Please give your views on the rate of change of the regulations.</w:t>
      </w:r>
    </w:p>
    <w:p w:rsidR="009E51D5" w:rsidRPr="00ED7BE1" w:rsidRDefault="009E51D5" w:rsidP="009E51D5">
      <w:pPr>
        <w:rPr>
          <w:rFonts w:cs="Arial"/>
          <w:b/>
          <w:bCs/>
        </w:rPr>
      </w:pPr>
    </w:p>
    <w:p w:rsidR="009E51D5" w:rsidRPr="00BE2266" w:rsidRDefault="009E51D5" w:rsidP="009E51D5">
      <w:pPr>
        <w:pStyle w:val="ECCParagraph"/>
      </w:pPr>
      <w:r w:rsidRPr="00BE2266">
        <w:t xml:space="preserve">The answers to the provided answering options were very clear. 56 answers prefer change to be gradual and consider stability as being very important. </w:t>
      </w:r>
    </w:p>
    <w:p w:rsidR="009E51D5" w:rsidRPr="00BE2266" w:rsidRDefault="009E51D5" w:rsidP="009E51D5">
      <w:pPr>
        <w:pStyle w:val="ECCParagraph"/>
      </w:pPr>
      <w:r w:rsidRPr="00BE2266">
        <w:t xml:space="preserve">The clear majority even could not agree to a 2-years update cycle, mentioning acceptable change cycles between 4 and 15 years. Almost all answers (12 out of 13) in the second category (whether an update on 1 or 2 year cycle would be acceptable) indicated 2 years as the preference over 1 year. </w:t>
      </w:r>
    </w:p>
    <w:p w:rsidR="009E51D5" w:rsidRPr="00BE2266" w:rsidRDefault="009E51D5" w:rsidP="009E51D5">
      <w:pPr>
        <w:pStyle w:val="ECCParagraph"/>
      </w:pPr>
      <w:r w:rsidRPr="00BE2266">
        <w:t xml:space="preserve">Under improvements as soon as possible, the main consideration was on limiting this action to de-bugging and unclear descriptions. In addition, some understood this question to be primarily an option for new applications. </w:t>
      </w:r>
    </w:p>
    <w:p w:rsidR="009E51D5" w:rsidRPr="00BE2266" w:rsidRDefault="009E51D5" w:rsidP="009E51D5">
      <w:pPr>
        <w:pStyle w:val="ECCParagraph"/>
      </w:pPr>
      <w:r w:rsidRPr="00BE2266">
        <w:t xml:space="preserve">Quite a number of answers under this question referred to the recent revision of ETSI EN 300 220 </w:t>
      </w:r>
      <w:r w:rsidR="00532580">
        <w:fldChar w:fldCharType="begin"/>
      </w:r>
      <w:r w:rsidR="00532580">
        <w:instrText xml:space="preserve"> REF _Ref321997867 \r \h </w:instrText>
      </w:r>
      <w:r w:rsidR="00532580">
        <w:fldChar w:fldCharType="separate"/>
      </w:r>
      <w:r w:rsidR="001A06A7">
        <w:t>[2]</w:t>
      </w:r>
      <w:r w:rsidR="00532580">
        <w:fldChar w:fldCharType="end"/>
      </w:r>
      <w:r w:rsidR="00532580">
        <w:t xml:space="preserve"> </w:t>
      </w:r>
      <w:r w:rsidRPr="00BE2266">
        <w:t xml:space="preserve">and that this was considered as an improvement in the situation, i.e. description of the channel access rules, possible combinations and techniques, therefore, contemplating that a certain stability point has now been reached for the 863-870 MHz band. </w:t>
      </w:r>
    </w:p>
    <w:p w:rsidR="009E51D5" w:rsidRPr="00ED7BE1" w:rsidRDefault="009E51D5" w:rsidP="009E51D5">
      <w:pPr>
        <w:pStyle w:val="ECCParagraph"/>
      </w:pPr>
      <w:r w:rsidRPr="00BE2266">
        <w:t>Single voices stated that backwards compatibility is important, should changes be unavoidable, or the effect of changes should be limited to software or new products only.</w:t>
      </w:r>
    </w:p>
    <w:p w:rsidR="009E51D5" w:rsidRPr="00ED7BE1" w:rsidRDefault="009E51D5" w:rsidP="009E51D5">
      <w:pPr>
        <w:jc w:val="center"/>
        <w:rPr>
          <w:rFonts w:cs="Arial"/>
          <w:b/>
          <w:bCs/>
        </w:rPr>
      </w:pPr>
      <w:r>
        <w:rPr>
          <w:rFonts w:cs="Arial"/>
          <w:bCs/>
          <w:noProof/>
          <w:lang w:val="da-DK" w:eastAsia="da-DK"/>
        </w:rPr>
        <w:drawing>
          <wp:inline distT="0" distB="0" distL="0" distR="0" wp14:anchorId="2C13E4B9" wp14:editId="123A55D1">
            <wp:extent cx="3098800" cy="1828800"/>
            <wp:effectExtent l="0" t="0" r="0" b="0"/>
            <wp:docPr id="30" name="Chart 3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9E51D5" w:rsidRPr="00ED7BE1" w:rsidRDefault="009E51D5" w:rsidP="009E51D5">
      <w:pPr>
        <w:pStyle w:val="Caption"/>
      </w:pPr>
      <w:r>
        <w:t xml:space="preserve">Figure </w:t>
      </w:r>
      <w:r>
        <w:fldChar w:fldCharType="begin"/>
      </w:r>
      <w:r>
        <w:instrText xml:space="preserve"> SEQ Figure \* ARABIC </w:instrText>
      </w:r>
      <w:r>
        <w:fldChar w:fldCharType="separate"/>
      </w:r>
      <w:r w:rsidR="001A06A7">
        <w:rPr>
          <w:noProof/>
        </w:rPr>
        <w:t>14</w:t>
      </w:r>
      <w:r>
        <w:fldChar w:fldCharType="end"/>
      </w:r>
      <w:r w:rsidRPr="00ED7BE1">
        <w:t xml:space="preserve">: Importance of stability </w:t>
      </w:r>
    </w:p>
    <w:p w:rsidR="009E51D5" w:rsidRDefault="009E51D5" w:rsidP="009E51D5">
      <w:pPr>
        <w:pStyle w:val="ECCParagraph"/>
      </w:pPr>
      <w:r w:rsidRPr="00ED7BE1">
        <w:t>Responders indicated that their source of information about the regulation and intended changes would be ETSI and the ECC/ECO primarily, partly by participating in ETSI and respective ECC meetings directly. Other information sources mentioned were the NRA (12</w:t>
      </w:r>
      <w:r w:rsidRPr="00195FFB">
        <w:t xml:space="preserve"> mentionings</w:t>
      </w:r>
      <w:r w:rsidRPr="00ED7BE1">
        <w:t>), the web, national</w:t>
      </w:r>
      <w:r w:rsidRPr="00195FFB">
        <w:t xml:space="preserve"> standardisation</w:t>
      </w:r>
      <w:r w:rsidRPr="00ED7BE1">
        <w:t xml:space="preserve"> committee, LPRA or ZVEI.</w:t>
      </w:r>
    </w:p>
    <w:tbl>
      <w:tblPr>
        <w:tblW w:w="0" w:type="auto"/>
        <w:tblBorders>
          <w:top w:val="single" w:sz="4" w:space="0" w:color="D2232A"/>
          <w:left w:val="single" w:sz="4" w:space="0" w:color="D2232A"/>
          <w:bottom w:val="single" w:sz="4" w:space="0" w:color="D2232A"/>
          <w:right w:val="single" w:sz="4" w:space="0" w:color="D2232A"/>
          <w:insideH w:val="single" w:sz="4" w:space="0" w:color="D2232A"/>
          <w:insideV w:val="single" w:sz="4" w:space="0" w:color="D2232A"/>
        </w:tblBorders>
        <w:tblCellMar>
          <w:top w:w="11" w:type="dxa"/>
          <w:bottom w:w="11" w:type="dxa"/>
        </w:tblCellMar>
        <w:tblLook w:val="01E0" w:firstRow="1" w:lastRow="1" w:firstColumn="1" w:lastColumn="1" w:noHBand="0" w:noVBand="0"/>
      </w:tblPr>
      <w:tblGrid>
        <w:gridCol w:w="9855"/>
      </w:tblGrid>
      <w:tr w:rsidR="009E51D5" w:rsidRPr="00116031" w:rsidTr="009E51D5">
        <w:trPr>
          <w:tblHeader/>
        </w:trPr>
        <w:tc>
          <w:tcPr>
            <w:tcW w:w="9855" w:type="dxa"/>
            <w:shd w:val="clear" w:color="auto" w:fill="D2232A"/>
            <w:vAlign w:val="center"/>
          </w:tcPr>
          <w:p w:rsidR="009E51D5" w:rsidRPr="00116031" w:rsidRDefault="009E51D5" w:rsidP="004940CA">
            <w:pPr>
              <w:pStyle w:val="ECCParagraph"/>
              <w:jc w:val="center"/>
              <w:rPr>
                <w:b/>
                <w:color w:val="FFFFFF" w:themeColor="background1"/>
              </w:rPr>
            </w:pPr>
            <w:r w:rsidRPr="00116031">
              <w:rPr>
                <w:b/>
                <w:color w:val="FFFFFF" w:themeColor="background1"/>
              </w:rPr>
              <w:t>Assessment</w:t>
            </w:r>
          </w:p>
        </w:tc>
      </w:tr>
      <w:tr w:rsidR="009E51D5" w:rsidRPr="00757358" w:rsidTr="009E51D5">
        <w:tc>
          <w:tcPr>
            <w:tcW w:w="9855" w:type="dxa"/>
            <w:vAlign w:val="center"/>
          </w:tcPr>
          <w:p w:rsidR="009E51D5" w:rsidRPr="00195FFB" w:rsidRDefault="009E51D5" w:rsidP="009E51D5">
            <w:pPr>
              <w:pStyle w:val="ECCParagraph"/>
            </w:pPr>
            <w:r w:rsidRPr="00195FFB">
              <w:t>Changing regulation in general or adding new bands to for example 70-03 or the EC SRD decision is not the point here but restricting the use of existing bands in the current regulation should only be done on a clearly justified basis, i.e. after a detailed ECC study.</w:t>
            </w:r>
          </w:p>
        </w:tc>
      </w:tr>
    </w:tbl>
    <w:p w:rsidR="009E51D5" w:rsidRDefault="009E51D5" w:rsidP="009E51D5">
      <w:pPr>
        <w:rPr>
          <w:rFonts w:cs="Arial"/>
          <w:bCs/>
          <w:sz w:val="22"/>
          <w:szCs w:val="22"/>
        </w:rPr>
      </w:pPr>
    </w:p>
    <w:p w:rsidR="009E51D5" w:rsidRDefault="009E51D5" w:rsidP="009E51D5">
      <w:pPr>
        <w:rPr>
          <w:rFonts w:cs="Arial"/>
          <w:b/>
          <w:bCs/>
          <w:lang w:val="en-GB"/>
        </w:rPr>
      </w:pPr>
      <w:r w:rsidRPr="00195FFB">
        <w:rPr>
          <w:rFonts w:cs="Arial"/>
          <w:b/>
          <w:bCs/>
          <w:lang w:val="en-GB"/>
        </w:rPr>
        <w:t>Question 11:</w:t>
      </w:r>
    </w:p>
    <w:p w:rsidR="009E51D5" w:rsidRPr="00ED7BE1" w:rsidRDefault="009E51D5" w:rsidP="009E51D5">
      <w:pPr>
        <w:rPr>
          <w:rFonts w:cs="Arial"/>
          <w:b/>
          <w:bCs/>
        </w:rPr>
      </w:pPr>
      <w:r w:rsidRPr="00195FFB">
        <w:rPr>
          <w:rFonts w:cs="Arial"/>
          <w:b/>
          <w:bCs/>
          <w:lang w:val="en-GB"/>
        </w:rPr>
        <w:t>Would you prefer an increase or a decrease in the number of spectrum access techniques (DC, LBT, FHSS, DSSS, AFA etc.) in the regulations?</w:t>
      </w:r>
    </w:p>
    <w:p w:rsidR="009E51D5" w:rsidRPr="00ED7BE1" w:rsidRDefault="009E51D5" w:rsidP="009E51D5">
      <w:pPr>
        <w:rPr>
          <w:rFonts w:cs="Arial"/>
          <w:b/>
          <w:bCs/>
        </w:rPr>
      </w:pPr>
    </w:p>
    <w:p w:rsidR="009E51D5" w:rsidRPr="00ED7BE1" w:rsidRDefault="009E51D5" w:rsidP="009E51D5">
      <w:pPr>
        <w:pStyle w:val="ECCParagraph"/>
      </w:pPr>
      <w:r w:rsidRPr="00ED7BE1">
        <w:t xml:space="preserve">The clears majority of answers with 50 responses indicated “leave it as it is”. The existing options would provide enough options and sufficient flexibility. </w:t>
      </w:r>
    </w:p>
    <w:p w:rsidR="009E51D5" w:rsidRPr="00ED7BE1" w:rsidRDefault="009E51D5" w:rsidP="009E51D5">
      <w:pPr>
        <w:rPr>
          <w:rFonts w:cs="Arial"/>
          <w:b/>
          <w:bCs/>
        </w:rPr>
      </w:pPr>
    </w:p>
    <w:p w:rsidR="009E51D5" w:rsidRPr="00ED7BE1" w:rsidRDefault="009E51D5" w:rsidP="009E51D5">
      <w:pPr>
        <w:jc w:val="center"/>
        <w:rPr>
          <w:rFonts w:cs="Arial"/>
          <w:b/>
          <w:bCs/>
        </w:rPr>
      </w:pPr>
      <w:r>
        <w:rPr>
          <w:rFonts w:cs="Arial"/>
          <w:bCs/>
          <w:noProof/>
          <w:lang w:val="da-DK" w:eastAsia="da-DK"/>
        </w:rPr>
        <w:lastRenderedPageBreak/>
        <w:drawing>
          <wp:inline distT="0" distB="0" distL="0" distR="0" wp14:anchorId="62FAE6C6" wp14:editId="4E742E71">
            <wp:extent cx="3098800" cy="1828800"/>
            <wp:effectExtent l="0" t="0" r="0" b="0"/>
            <wp:docPr id="34" name="Chart 3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9E51D5" w:rsidRPr="00ED7BE1" w:rsidRDefault="009E51D5" w:rsidP="009E51D5">
      <w:pPr>
        <w:pStyle w:val="Caption"/>
      </w:pPr>
      <w:r>
        <w:t xml:space="preserve">Figure </w:t>
      </w:r>
      <w:r>
        <w:fldChar w:fldCharType="begin"/>
      </w:r>
      <w:r>
        <w:instrText xml:space="preserve"> SEQ Figure \* ARABIC </w:instrText>
      </w:r>
      <w:r>
        <w:fldChar w:fldCharType="separate"/>
      </w:r>
      <w:r w:rsidR="001A06A7">
        <w:rPr>
          <w:noProof/>
        </w:rPr>
        <w:t>15</w:t>
      </w:r>
      <w:r>
        <w:fldChar w:fldCharType="end"/>
      </w:r>
      <w:r w:rsidRPr="00ED7BE1">
        <w:t>: Importance of stability (II)</w:t>
      </w:r>
    </w:p>
    <w:p w:rsidR="009E51D5" w:rsidRPr="00D52AE5" w:rsidRDefault="009E51D5" w:rsidP="009E51D5">
      <w:pPr>
        <w:pStyle w:val="ECCParagraph"/>
      </w:pPr>
      <w:r w:rsidRPr="00D52AE5">
        <w:t>Those who could agree to more options put this under the conditions that a new option should only be introduced after proper analysis and as long as it would not increase the perturbations to other users operating with one of the existing techniques.</w:t>
      </w:r>
    </w:p>
    <w:p w:rsidR="009E51D5" w:rsidRDefault="009E51D5" w:rsidP="009E51D5">
      <w:pPr>
        <w:pStyle w:val="ECCParagraph"/>
      </w:pPr>
      <w:r w:rsidRPr="00D52AE5">
        <w:t xml:space="preserve">The main reason for advocating a decrease was seen as simplification. Other issues raised under question 10 were suggestions for more bandwidth or more detailed specifications to make the sharing of frequencies more predictable, especially regarding LBT+AFA. </w:t>
      </w:r>
    </w:p>
    <w:tbl>
      <w:tblPr>
        <w:tblW w:w="0" w:type="auto"/>
        <w:tblBorders>
          <w:top w:val="single" w:sz="4" w:space="0" w:color="D2232A"/>
          <w:left w:val="single" w:sz="4" w:space="0" w:color="D2232A"/>
          <w:bottom w:val="single" w:sz="4" w:space="0" w:color="D2232A"/>
          <w:right w:val="single" w:sz="4" w:space="0" w:color="D2232A"/>
          <w:insideH w:val="single" w:sz="4" w:space="0" w:color="D2232A"/>
          <w:insideV w:val="single" w:sz="4" w:space="0" w:color="D2232A"/>
        </w:tblBorders>
        <w:tblCellMar>
          <w:top w:w="11" w:type="dxa"/>
          <w:bottom w:w="11" w:type="dxa"/>
        </w:tblCellMar>
        <w:tblLook w:val="01E0" w:firstRow="1" w:lastRow="1" w:firstColumn="1" w:lastColumn="1" w:noHBand="0" w:noVBand="0"/>
      </w:tblPr>
      <w:tblGrid>
        <w:gridCol w:w="9855"/>
      </w:tblGrid>
      <w:tr w:rsidR="009E51D5" w:rsidRPr="00116031" w:rsidTr="009E51D5">
        <w:trPr>
          <w:tblHeader/>
        </w:trPr>
        <w:tc>
          <w:tcPr>
            <w:tcW w:w="9855" w:type="dxa"/>
            <w:shd w:val="clear" w:color="auto" w:fill="D2232A"/>
            <w:vAlign w:val="center"/>
          </w:tcPr>
          <w:p w:rsidR="009E51D5" w:rsidRPr="00116031" w:rsidRDefault="009E51D5" w:rsidP="004940CA">
            <w:pPr>
              <w:pStyle w:val="ECCParagraph"/>
              <w:jc w:val="center"/>
              <w:rPr>
                <w:b/>
                <w:color w:val="FFFFFF" w:themeColor="background1"/>
              </w:rPr>
            </w:pPr>
            <w:r w:rsidRPr="00116031">
              <w:rPr>
                <w:b/>
                <w:color w:val="FFFFFF" w:themeColor="background1"/>
              </w:rPr>
              <w:t>Assessment</w:t>
            </w:r>
          </w:p>
        </w:tc>
      </w:tr>
      <w:tr w:rsidR="009E51D5" w:rsidRPr="00757358" w:rsidTr="009E51D5">
        <w:tc>
          <w:tcPr>
            <w:tcW w:w="9855" w:type="dxa"/>
            <w:vAlign w:val="center"/>
          </w:tcPr>
          <w:p w:rsidR="009E51D5" w:rsidRPr="00D52AE5" w:rsidRDefault="009E51D5" w:rsidP="009E51D5">
            <w:pPr>
              <w:pStyle w:val="ECCParagraph"/>
            </w:pPr>
            <w:r w:rsidRPr="00D52AE5">
              <w:t>The main concern is that a change in regulation may mean a costly change in a manufacturer’s product. Introducing more flexibility within the existing options may need to be considered.</w:t>
            </w:r>
          </w:p>
        </w:tc>
      </w:tr>
    </w:tbl>
    <w:p w:rsidR="009E51D5" w:rsidRDefault="009E51D5" w:rsidP="009E51D5">
      <w:pPr>
        <w:pStyle w:val="ECCParagraph"/>
        <w:spacing w:after="0"/>
        <w:rPr>
          <w:b/>
        </w:rPr>
      </w:pPr>
    </w:p>
    <w:p w:rsidR="009E51D5" w:rsidRDefault="009E51D5" w:rsidP="009E51D5">
      <w:pPr>
        <w:pStyle w:val="ECCParagraph"/>
        <w:spacing w:after="0"/>
        <w:rPr>
          <w:b/>
        </w:rPr>
      </w:pPr>
      <w:r w:rsidRPr="00D52AE5">
        <w:rPr>
          <w:b/>
        </w:rPr>
        <w:t xml:space="preserve">Question 12: </w:t>
      </w:r>
    </w:p>
    <w:p w:rsidR="009E51D5" w:rsidRPr="00D52AE5" w:rsidRDefault="009E51D5" w:rsidP="009E51D5">
      <w:pPr>
        <w:pStyle w:val="ECCParagraph"/>
        <w:rPr>
          <w:b/>
        </w:rPr>
      </w:pPr>
      <w:r w:rsidRPr="00D52AE5">
        <w:rPr>
          <w:b/>
        </w:rPr>
        <w:t>Would you support the consolidation of ERC Recommendation 70-03 Annexes 1, 7, 10, 11, 13 into fewer annexes?</w:t>
      </w:r>
    </w:p>
    <w:p w:rsidR="009E51D5" w:rsidRPr="00D52AE5" w:rsidRDefault="009E51D5" w:rsidP="009E51D5">
      <w:pPr>
        <w:pStyle w:val="ECCParagraph"/>
      </w:pPr>
      <w:r w:rsidRPr="00D52AE5">
        <w:t>40 answers indicated NO, representing 2/3 of all answers received for question 12.</w:t>
      </w:r>
    </w:p>
    <w:p w:rsidR="009E51D5" w:rsidRPr="00ED7BE1" w:rsidRDefault="009E51D5" w:rsidP="009E51D5">
      <w:pPr>
        <w:jc w:val="center"/>
        <w:rPr>
          <w:rFonts w:cs="Arial"/>
          <w:bCs/>
        </w:rPr>
      </w:pPr>
      <w:r>
        <w:rPr>
          <w:rFonts w:cs="Arial"/>
          <w:bCs/>
          <w:noProof/>
          <w:lang w:val="da-DK" w:eastAsia="da-DK"/>
        </w:rPr>
        <w:drawing>
          <wp:inline distT="0" distB="0" distL="0" distR="0" wp14:anchorId="5A269032" wp14:editId="1476C4A1">
            <wp:extent cx="3098800" cy="1828800"/>
            <wp:effectExtent l="0" t="0" r="0" b="0"/>
            <wp:docPr id="33" name="Chart 3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9E51D5" w:rsidRPr="00ED7BE1" w:rsidRDefault="009E51D5" w:rsidP="009E51D5">
      <w:pPr>
        <w:pStyle w:val="Caption"/>
      </w:pPr>
      <w:r>
        <w:t xml:space="preserve">Figure </w:t>
      </w:r>
      <w:r>
        <w:fldChar w:fldCharType="begin"/>
      </w:r>
      <w:r>
        <w:instrText xml:space="preserve"> SEQ Figure \* ARABIC </w:instrText>
      </w:r>
      <w:r>
        <w:fldChar w:fldCharType="separate"/>
      </w:r>
      <w:r w:rsidR="001A06A7">
        <w:rPr>
          <w:noProof/>
        </w:rPr>
        <w:t>16</w:t>
      </w:r>
      <w:r>
        <w:fldChar w:fldCharType="end"/>
      </w:r>
      <w:r w:rsidRPr="00ED7BE1">
        <w:t>: Supporting consolidation of ERC/REC 70-03</w:t>
      </w:r>
      <w:r w:rsidR="00532580">
        <w:t xml:space="preserve"> </w:t>
      </w:r>
      <w:r w:rsidR="00532580">
        <w:fldChar w:fldCharType="begin"/>
      </w:r>
      <w:r w:rsidR="00532580">
        <w:instrText xml:space="preserve"> REF _Ref321997834 \r \h </w:instrText>
      </w:r>
      <w:r w:rsidR="00532580">
        <w:fldChar w:fldCharType="separate"/>
      </w:r>
      <w:r w:rsidR="001A06A7">
        <w:t>[1]</w:t>
      </w:r>
      <w:r w:rsidR="00532580">
        <w:fldChar w:fldCharType="end"/>
      </w:r>
      <w:r w:rsidRPr="00ED7BE1">
        <w:t xml:space="preserve"> </w:t>
      </w:r>
    </w:p>
    <w:p w:rsidR="009E51D5" w:rsidRPr="00D52AE5" w:rsidRDefault="009E51D5" w:rsidP="009E51D5">
      <w:pPr>
        <w:pStyle w:val="ECCParagraph"/>
      </w:pPr>
      <w:r w:rsidRPr="00D52AE5">
        <w:t>This was regarded by those stating NO as not necessary or rather too complex. Instead, the existing categories would reflect the market situation very well and would provide a better overview.</w:t>
      </w:r>
    </w:p>
    <w:p w:rsidR="009E51D5" w:rsidRDefault="009E51D5" w:rsidP="009E51D5">
      <w:pPr>
        <w:pStyle w:val="ECCParagraph"/>
      </w:pPr>
      <w:r w:rsidRPr="00D52AE5">
        <w:t xml:space="preserve">Several answers from alarm system manufacturers put their YES under the condition that alarms still should be kept separated. Other indicated that they do not want to see audio and digital sections combined. Several mentioned the application-scoping of </w:t>
      </w:r>
      <w:r w:rsidR="00AA54AA">
        <w:t xml:space="preserve">ERC/REC </w:t>
      </w:r>
      <w:r w:rsidRPr="00D52AE5">
        <w:t xml:space="preserve">70-03 </w:t>
      </w:r>
      <w:r w:rsidR="00532580">
        <w:fldChar w:fldCharType="begin"/>
      </w:r>
      <w:r w:rsidR="00532580">
        <w:instrText xml:space="preserve"> REF _Ref321997834 \r \h </w:instrText>
      </w:r>
      <w:r w:rsidR="00532580">
        <w:fldChar w:fldCharType="separate"/>
      </w:r>
      <w:r w:rsidR="001A06A7">
        <w:t>[1]</w:t>
      </w:r>
      <w:r w:rsidR="00532580">
        <w:fldChar w:fldCharType="end"/>
      </w:r>
      <w:r w:rsidR="00532580">
        <w:t xml:space="preserve"> </w:t>
      </w:r>
      <w:r w:rsidRPr="00D52AE5">
        <w:t>annexes was already very wide.</w:t>
      </w:r>
    </w:p>
    <w:tbl>
      <w:tblPr>
        <w:tblW w:w="0" w:type="auto"/>
        <w:tblBorders>
          <w:top w:val="single" w:sz="4" w:space="0" w:color="D2232A"/>
          <w:left w:val="single" w:sz="4" w:space="0" w:color="D2232A"/>
          <w:bottom w:val="single" w:sz="4" w:space="0" w:color="D2232A"/>
          <w:right w:val="single" w:sz="4" w:space="0" w:color="D2232A"/>
          <w:insideH w:val="single" w:sz="4" w:space="0" w:color="D2232A"/>
          <w:insideV w:val="single" w:sz="4" w:space="0" w:color="D2232A"/>
        </w:tblBorders>
        <w:tblCellMar>
          <w:top w:w="11" w:type="dxa"/>
          <w:bottom w:w="11" w:type="dxa"/>
        </w:tblCellMar>
        <w:tblLook w:val="01E0" w:firstRow="1" w:lastRow="1" w:firstColumn="1" w:lastColumn="1" w:noHBand="0" w:noVBand="0"/>
      </w:tblPr>
      <w:tblGrid>
        <w:gridCol w:w="9855"/>
      </w:tblGrid>
      <w:tr w:rsidR="009E51D5" w:rsidRPr="00116031" w:rsidTr="009E51D5">
        <w:trPr>
          <w:tblHeader/>
        </w:trPr>
        <w:tc>
          <w:tcPr>
            <w:tcW w:w="9855" w:type="dxa"/>
            <w:shd w:val="clear" w:color="auto" w:fill="D2232A"/>
            <w:vAlign w:val="center"/>
          </w:tcPr>
          <w:p w:rsidR="009E51D5" w:rsidRPr="00116031" w:rsidRDefault="009E51D5" w:rsidP="004940CA">
            <w:pPr>
              <w:pStyle w:val="ECCParagraph"/>
              <w:jc w:val="center"/>
              <w:rPr>
                <w:b/>
                <w:color w:val="FFFFFF" w:themeColor="background1"/>
              </w:rPr>
            </w:pPr>
            <w:r w:rsidRPr="00116031">
              <w:rPr>
                <w:b/>
                <w:color w:val="FFFFFF" w:themeColor="background1"/>
              </w:rPr>
              <w:lastRenderedPageBreak/>
              <w:t>Assessment</w:t>
            </w:r>
          </w:p>
        </w:tc>
      </w:tr>
      <w:tr w:rsidR="009E51D5" w:rsidRPr="00757358" w:rsidTr="009E51D5">
        <w:tc>
          <w:tcPr>
            <w:tcW w:w="9855" w:type="dxa"/>
            <w:vAlign w:val="center"/>
          </w:tcPr>
          <w:p w:rsidR="009E51D5" w:rsidRPr="00757358" w:rsidRDefault="009E51D5" w:rsidP="009E51D5">
            <w:pPr>
              <w:pStyle w:val="ECCParagraph"/>
            </w:pPr>
            <w:r w:rsidRPr="00D52AE5">
              <w:t>No sufficient support for the consolid</w:t>
            </w:r>
            <w:r w:rsidR="00AA54AA">
              <w:t>ation of the annexes in ERC/REC</w:t>
            </w:r>
            <w:r w:rsidRPr="00D52AE5">
              <w:t xml:space="preserve"> 70-03</w:t>
            </w:r>
            <w:r w:rsidR="00532580">
              <w:t xml:space="preserve"> </w:t>
            </w:r>
            <w:r w:rsidR="00532580">
              <w:fldChar w:fldCharType="begin"/>
            </w:r>
            <w:r w:rsidR="00532580">
              <w:instrText xml:space="preserve"> REF _Ref321997834 \r \h </w:instrText>
            </w:r>
            <w:r w:rsidR="00532580">
              <w:fldChar w:fldCharType="separate"/>
            </w:r>
            <w:r w:rsidR="001A06A7">
              <w:t>[1]</w:t>
            </w:r>
            <w:r w:rsidR="00532580">
              <w:fldChar w:fldCharType="end"/>
            </w:r>
            <w:r>
              <w:t>.</w:t>
            </w:r>
          </w:p>
        </w:tc>
      </w:tr>
    </w:tbl>
    <w:p w:rsidR="009E51D5" w:rsidRPr="00D52AE5" w:rsidRDefault="009E51D5" w:rsidP="009E51D5">
      <w:pPr>
        <w:pStyle w:val="ECCParagraph"/>
        <w:spacing w:after="0"/>
        <w:rPr>
          <w:sz w:val="22"/>
          <w:szCs w:val="22"/>
          <w:lang w:val="en-US"/>
        </w:rPr>
      </w:pPr>
    </w:p>
    <w:p w:rsidR="009E51D5" w:rsidRDefault="009E51D5" w:rsidP="009E51D5">
      <w:pPr>
        <w:pStyle w:val="ECCParagraph"/>
        <w:spacing w:after="0"/>
        <w:rPr>
          <w:b/>
        </w:rPr>
      </w:pPr>
      <w:r w:rsidRPr="00ED7BE1">
        <w:rPr>
          <w:b/>
        </w:rPr>
        <w:t>Question 13:</w:t>
      </w:r>
    </w:p>
    <w:p w:rsidR="009E51D5" w:rsidRDefault="009E51D5" w:rsidP="009E51D5">
      <w:pPr>
        <w:pStyle w:val="ECCParagraph"/>
        <w:spacing w:after="0"/>
        <w:rPr>
          <w:b/>
        </w:rPr>
      </w:pPr>
      <w:r w:rsidRPr="00ED7BE1">
        <w:rPr>
          <w:b/>
        </w:rPr>
        <w:t>Alternatively, should Annexes 1, 7, 10, 11, 13 be kept separate but have cross references added to show where they refer to the same spectrum.</w:t>
      </w:r>
    </w:p>
    <w:p w:rsidR="009E51D5" w:rsidRPr="00ED7BE1" w:rsidRDefault="009E51D5" w:rsidP="009E51D5">
      <w:pPr>
        <w:pStyle w:val="ECCParagraph"/>
        <w:spacing w:after="0"/>
        <w:rPr>
          <w:b/>
        </w:rPr>
      </w:pPr>
    </w:p>
    <w:p w:rsidR="009E51D5" w:rsidRPr="00ED7BE1" w:rsidRDefault="009E51D5" w:rsidP="009E51D5">
      <w:pPr>
        <w:pStyle w:val="ECCParagraph"/>
      </w:pPr>
      <w:r w:rsidRPr="00ED7BE1">
        <w:t>42 answers stated YES.</w:t>
      </w:r>
    </w:p>
    <w:p w:rsidR="009E51D5" w:rsidRPr="00ED7BE1" w:rsidRDefault="009E51D5" w:rsidP="009E51D5">
      <w:pPr>
        <w:jc w:val="center"/>
        <w:rPr>
          <w:rFonts w:cs="Arial"/>
          <w:b/>
          <w:bCs/>
        </w:rPr>
      </w:pPr>
      <w:r>
        <w:rPr>
          <w:rFonts w:cs="Arial"/>
          <w:bCs/>
          <w:noProof/>
          <w:lang w:val="da-DK" w:eastAsia="da-DK"/>
        </w:rPr>
        <w:drawing>
          <wp:inline distT="0" distB="0" distL="0" distR="0" wp14:anchorId="2B620EA2" wp14:editId="6BD834E4">
            <wp:extent cx="3098800" cy="1828800"/>
            <wp:effectExtent l="0" t="0" r="0" b="0"/>
            <wp:docPr id="32" name="Chart 3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9E51D5" w:rsidRPr="00ED7BE1" w:rsidRDefault="009E51D5" w:rsidP="009E51D5">
      <w:pPr>
        <w:pStyle w:val="Caption"/>
      </w:pPr>
      <w:r>
        <w:t xml:space="preserve">Figure </w:t>
      </w:r>
      <w:r>
        <w:fldChar w:fldCharType="begin"/>
      </w:r>
      <w:r>
        <w:instrText xml:space="preserve"> SEQ Figure \* ARABIC </w:instrText>
      </w:r>
      <w:r>
        <w:fldChar w:fldCharType="separate"/>
      </w:r>
      <w:r w:rsidR="001A06A7">
        <w:rPr>
          <w:noProof/>
        </w:rPr>
        <w:t>17</w:t>
      </w:r>
      <w:r>
        <w:fldChar w:fldCharType="end"/>
      </w:r>
      <w:r w:rsidRPr="00ED7BE1">
        <w:t xml:space="preserve">: Cross-references welcomed </w:t>
      </w:r>
    </w:p>
    <w:p w:rsidR="009E51D5" w:rsidRPr="00D52AE5" w:rsidRDefault="009E51D5" w:rsidP="009E51D5">
      <w:pPr>
        <w:pStyle w:val="ECCParagraph"/>
      </w:pPr>
      <w:r w:rsidRPr="00D52AE5">
        <w:t>Cross references were considered by the majority as helpful and would ease the use of ERC/REC 70-03</w:t>
      </w:r>
      <w:r w:rsidR="00532580">
        <w:t xml:space="preserve"> </w:t>
      </w:r>
      <w:r w:rsidR="00532580">
        <w:fldChar w:fldCharType="begin"/>
      </w:r>
      <w:r w:rsidR="00532580">
        <w:instrText xml:space="preserve"> REF _Ref321997834 \r \h </w:instrText>
      </w:r>
      <w:r w:rsidR="00532580">
        <w:fldChar w:fldCharType="separate"/>
      </w:r>
      <w:r w:rsidR="001A06A7">
        <w:t>[1]</w:t>
      </w:r>
      <w:r w:rsidR="00532580">
        <w:fldChar w:fldCharType="end"/>
      </w:r>
      <w:r w:rsidRPr="00D52AE5">
        <w:t>. An alternative was also proposed: add a matrix view with frequencies vs. applications.</w:t>
      </w:r>
    </w:p>
    <w:p w:rsidR="009E51D5" w:rsidRDefault="009E51D5" w:rsidP="009E51D5">
      <w:pPr>
        <w:pStyle w:val="ECCParagraph"/>
        <w:rPr>
          <w:sz w:val="22"/>
          <w:szCs w:val="22"/>
        </w:rPr>
      </w:pPr>
      <w:r w:rsidRPr="00D52AE5">
        <w:t>Others warned that cross-references could also lead to confusion and complexity</w:t>
      </w:r>
      <w:r w:rsidRPr="00ED7BE1">
        <w:rPr>
          <w:sz w:val="22"/>
          <w:szCs w:val="22"/>
        </w:rPr>
        <w:t>.</w:t>
      </w:r>
    </w:p>
    <w:tbl>
      <w:tblPr>
        <w:tblW w:w="0" w:type="auto"/>
        <w:tblBorders>
          <w:top w:val="single" w:sz="4" w:space="0" w:color="D2232A"/>
          <w:left w:val="single" w:sz="4" w:space="0" w:color="D2232A"/>
          <w:bottom w:val="single" w:sz="4" w:space="0" w:color="D2232A"/>
          <w:right w:val="single" w:sz="4" w:space="0" w:color="D2232A"/>
          <w:insideH w:val="single" w:sz="4" w:space="0" w:color="D2232A"/>
          <w:insideV w:val="single" w:sz="4" w:space="0" w:color="D2232A"/>
        </w:tblBorders>
        <w:tblCellMar>
          <w:top w:w="11" w:type="dxa"/>
          <w:bottom w:w="11" w:type="dxa"/>
        </w:tblCellMar>
        <w:tblLook w:val="01E0" w:firstRow="1" w:lastRow="1" w:firstColumn="1" w:lastColumn="1" w:noHBand="0" w:noVBand="0"/>
      </w:tblPr>
      <w:tblGrid>
        <w:gridCol w:w="9855"/>
      </w:tblGrid>
      <w:tr w:rsidR="009E51D5" w:rsidRPr="00116031" w:rsidTr="009E51D5">
        <w:trPr>
          <w:tblHeader/>
        </w:trPr>
        <w:tc>
          <w:tcPr>
            <w:tcW w:w="9855" w:type="dxa"/>
            <w:shd w:val="clear" w:color="auto" w:fill="D2232A"/>
            <w:vAlign w:val="center"/>
          </w:tcPr>
          <w:p w:rsidR="009E51D5" w:rsidRPr="00116031" w:rsidRDefault="009E51D5" w:rsidP="004940CA">
            <w:pPr>
              <w:pStyle w:val="ECCParagraph"/>
              <w:jc w:val="center"/>
              <w:rPr>
                <w:b/>
                <w:color w:val="FFFFFF" w:themeColor="background1"/>
              </w:rPr>
            </w:pPr>
            <w:r w:rsidRPr="00116031">
              <w:rPr>
                <w:b/>
                <w:color w:val="FFFFFF" w:themeColor="background1"/>
              </w:rPr>
              <w:t>Assessment</w:t>
            </w:r>
          </w:p>
        </w:tc>
      </w:tr>
      <w:tr w:rsidR="009E51D5" w:rsidRPr="00757358" w:rsidTr="009E51D5">
        <w:tc>
          <w:tcPr>
            <w:tcW w:w="9855" w:type="dxa"/>
            <w:vAlign w:val="center"/>
          </w:tcPr>
          <w:p w:rsidR="009E51D5" w:rsidRPr="00D52AE5" w:rsidRDefault="009E51D5" w:rsidP="009E51D5">
            <w:pPr>
              <w:pStyle w:val="ECCParagraph"/>
            </w:pPr>
            <w:r w:rsidRPr="00D52AE5">
              <w:t>Add cross-references where annexes refer to the same spectrum.</w:t>
            </w:r>
          </w:p>
        </w:tc>
      </w:tr>
    </w:tbl>
    <w:p w:rsidR="009E51D5" w:rsidRPr="00D52AE5" w:rsidRDefault="009E51D5" w:rsidP="009E51D5">
      <w:pPr>
        <w:pStyle w:val="ECCParagraph"/>
        <w:spacing w:after="0"/>
        <w:rPr>
          <w:sz w:val="22"/>
          <w:szCs w:val="22"/>
          <w:lang w:val="en-US"/>
        </w:rPr>
      </w:pPr>
    </w:p>
    <w:p w:rsidR="009E51D5" w:rsidRDefault="009E51D5" w:rsidP="009E51D5">
      <w:pPr>
        <w:rPr>
          <w:rFonts w:cs="Arial"/>
          <w:b/>
          <w:bCs/>
          <w:lang w:val="en-GB"/>
        </w:rPr>
      </w:pPr>
      <w:r w:rsidRPr="00195FFB">
        <w:rPr>
          <w:rFonts w:cs="Arial"/>
          <w:b/>
          <w:bCs/>
          <w:lang w:val="en-GB"/>
        </w:rPr>
        <w:t xml:space="preserve">Question 14: </w:t>
      </w:r>
    </w:p>
    <w:p w:rsidR="009E51D5" w:rsidRDefault="009E51D5" w:rsidP="009E51D5">
      <w:pPr>
        <w:rPr>
          <w:rFonts w:cs="Arial"/>
          <w:b/>
          <w:bCs/>
        </w:rPr>
      </w:pPr>
      <w:r w:rsidRPr="00195FFB">
        <w:rPr>
          <w:rFonts w:cs="Arial"/>
          <w:b/>
          <w:bCs/>
          <w:lang w:val="en-GB"/>
        </w:rPr>
        <w:t>Do you think certain applications require some kind of protection in regulation?</w:t>
      </w:r>
    </w:p>
    <w:p w:rsidR="009E51D5" w:rsidRPr="00ED7BE1" w:rsidRDefault="009E51D5" w:rsidP="009E51D5">
      <w:pPr>
        <w:rPr>
          <w:rFonts w:cs="Arial"/>
          <w:b/>
          <w:bCs/>
        </w:rPr>
      </w:pPr>
    </w:p>
    <w:p w:rsidR="009E51D5" w:rsidRPr="000135B2" w:rsidRDefault="009E51D5" w:rsidP="009E51D5">
      <w:pPr>
        <w:pStyle w:val="ECCParagraph"/>
        <w:keepNext/>
      </w:pPr>
      <w:r w:rsidRPr="000135B2">
        <w:lastRenderedPageBreak/>
        <w:t>42 answers indicated YES.</w:t>
      </w:r>
    </w:p>
    <w:p w:rsidR="009E51D5" w:rsidRPr="00ED7BE1" w:rsidRDefault="009E51D5" w:rsidP="009E51D5">
      <w:pPr>
        <w:keepNext/>
        <w:jc w:val="center"/>
        <w:rPr>
          <w:rFonts w:cs="Arial"/>
          <w:b/>
          <w:bCs/>
        </w:rPr>
      </w:pPr>
      <w:r>
        <w:rPr>
          <w:rFonts w:cs="Arial"/>
          <w:bCs/>
          <w:noProof/>
          <w:lang w:val="da-DK" w:eastAsia="da-DK"/>
        </w:rPr>
        <w:drawing>
          <wp:inline distT="0" distB="0" distL="0" distR="0" wp14:anchorId="6071F913" wp14:editId="0F6D3D79">
            <wp:extent cx="4051300" cy="2235200"/>
            <wp:effectExtent l="0" t="0" r="0" b="0"/>
            <wp:docPr id="35" name="Chart 3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9E51D5" w:rsidRPr="00ED7BE1" w:rsidRDefault="009E51D5" w:rsidP="009E51D5">
      <w:pPr>
        <w:keepNext/>
        <w:rPr>
          <w:rFonts w:cs="Arial"/>
          <w:b/>
          <w:bCs/>
        </w:rPr>
      </w:pPr>
    </w:p>
    <w:p w:rsidR="009E51D5" w:rsidRPr="00ED7BE1" w:rsidRDefault="009E51D5" w:rsidP="009E51D5">
      <w:pPr>
        <w:pStyle w:val="Caption"/>
        <w:keepNext/>
      </w:pPr>
      <w:r>
        <w:t xml:space="preserve">Figure </w:t>
      </w:r>
      <w:r>
        <w:fldChar w:fldCharType="begin"/>
      </w:r>
      <w:r>
        <w:instrText xml:space="preserve"> SEQ Figure \* ARABIC </w:instrText>
      </w:r>
      <w:r>
        <w:fldChar w:fldCharType="separate"/>
      </w:r>
      <w:r w:rsidR="001A06A7">
        <w:rPr>
          <w:noProof/>
        </w:rPr>
        <w:t>18</w:t>
      </w:r>
      <w:r>
        <w:fldChar w:fldCharType="end"/>
      </w:r>
      <w:r w:rsidRPr="00ED7BE1">
        <w:t>: Special treatment justified?</w:t>
      </w:r>
    </w:p>
    <w:p w:rsidR="009E51D5" w:rsidRPr="00ED7BE1" w:rsidRDefault="009E51D5" w:rsidP="009E51D5">
      <w:pPr>
        <w:pStyle w:val="ECCParagraph"/>
      </w:pPr>
      <w:r w:rsidRPr="00ED7BE1">
        <w:t>The applications mentioned for which special treatment was considered justified were fire alarms (application with the most mentioning), alarms, intrusion alarms, protection/security of persons and goods, health applications as well as hospital usage, road safety related, social alarms due to their socio-economic benefits.</w:t>
      </w:r>
    </w:p>
    <w:p w:rsidR="009E51D5" w:rsidRPr="00ED7BE1" w:rsidRDefault="009E51D5" w:rsidP="009E51D5">
      <w:pPr>
        <w:pStyle w:val="ECCParagraph"/>
      </w:pPr>
      <w:r w:rsidRPr="00ED7BE1">
        <w:t>Other applications mentioned were metering/energy/utility management, RFID, home automation and industrial applications due to their high commercial value involved and economic benefits as well as a certain mission criticality of the related applications. Some answers linked those applications to licensing, should protection be required.</w:t>
      </w:r>
    </w:p>
    <w:p w:rsidR="009E51D5" w:rsidRDefault="009E51D5" w:rsidP="009E51D5">
      <w:pPr>
        <w:pStyle w:val="ECCParagraph"/>
      </w:pPr>
      <w:r w:rsidRPr="00ED7BE1">
        <w:t xml:space="preserve">Another main reason for metering applications was seen in the coexistence with applications using continuous or very long transmission/spectrum usage (game consoles, headphones) </w:t>
      </w:r>
      <w:r>
        <w:t xml:space="preserve">which </w:t>
      </w:r>
      <w:r w:rsidRPr="00ED7BE1">
        <w:t>was very critical and should be separated through spectrum regulation.</w:t>
      </w:r>
    </w:p>
    <w:p w:rsidR="009E51D5" w:rsidRDefault="009E51D5" w:rsidP="009E51D5">
      <w:pPr>
        <w:rPr>
          <w:rFonts w:cs="Arial"/>
          <w:b/>
          <w:bCs/>
        </w:rPr>
      </w:pPr>
      <w:r w:rsidRPr="00ED7BE1">
        <w:rPr>
          <w:rFonts w:cs="Arial"/>
          <w:b/>
          <w:bCs/>
        </w:rPr>
        <w:t>Question 15:</w:t>
      </w:r>
    </w:p>
    <w:p w:rsidR="009E51D5" w:rsidRDefault="009E51D5" w:rsidP="009E51D5">
      <w:pPr>
        <w:rPr>
          <w:rFonts w:cs="Arial"/>
          <w:b/>
          <w:bCs/>
        </w:rPr>
      </w:pPr>
      <w:r w:rsidRPr="00ED7BE1">
        <w:rPr>
          <w:rFonts w:cs="Arial"/>
          <w:b/>
          <w:bCs/>
        </w:rPr>
        <w:t>If the answer was yes, then how such protection should be achieved?</w:t>
      </w:r>
    </w:p>
    <w:p w:rsidR="009E51D5" w:rsidRPr="00ED7BE1" w:rsidRDefault="009E51D5" w:rsidP="009E51D5">
      <w:pPr>
        <w:rPr>
          <w:rFonts w:cs="Arial"/>
          <w:b/>
          <w:bCs/>
        </w:rPr>
      </w:pPr>
    </w:p>
    <w:p w:rsidR="009E51D5" w:rsidRPr="00E66A4D" w:rsidRDefault="009E51D5" w:rsidP="009E51D5">
      <w:pPr>
        <w:pStyle w:val="ECCParagraph"/>
      </w:pPr>
      <w:r w:rsidRPr="00E66A4D">
        <w:t>46 answers indicated that protection should be achieved by spectrum management.</w:t>
      </w:r>
    </w:p>
    <w:p w:rsidR="009E51D5" w:rsidRPr="00ED7BE1" w:rsidRDefault="009E51D5" w:rsidP="009E51D5">
      <w:pPr>
        <w:jc w:val="center"/>
        <w:rPr>
          <w:rFonts w:cs="Arial"/>
          <w:b/>
          <w:bCs/>
        </w:rPr>
      </w:pPr>
      <w:r>
        <w:rPr>
          <w:rFonts w:cs="Arial"/>
          <w:bCs/>
          <w:noProof/>
          <w:lang w:val="da-DK" w:eastAsia="da-DK"/>
        </w:rPr>
        <w:drawing>
          <wp:inline distT="0" distB="0" distL="0" distR="0" wp14:anchorId="6CDC1030" wp14:editId="5165FB58">
            <wp:extent cx="4483100" cy="1828800"/>
            <wp:effectExtent l="0" t="0" r="0" b="0"/>
            <wp:docPr id="36" name="Chart 3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9E51D5" w:rsidRPr="00ED7BE1" w:rsidRDefault="009E51D5" w:rsidP="009E51D5">
      <w:pPr>
        <w:pStyle w:val="Caption"/>
      </w:pPr>
      <w:r>
        <w:t xml:space="preserve">Figure </w:t>
      </w:r>
      <w:r>
        <w:fldChar w:fldCharType="begin"/>
      </w:r>
      <w:r>
        <w:instrText xml:space="preserve"> SEQ Figure \* ARABIC </w:instrText>
      </w:r>
      <w:r>
        <w:fldChar w:fldCharType="separate"/>
      </w:r>
      <w:r w:rsidR="001A06A7">
        <w:rPr>
          <w:noProof/>
        </w:rPr>
        <w:t>19</w:t>
      </w:r>
      <w:r>
        <w:fldChar w:fldCharType="end"/>
      </w:r>
      <w:r w:rsidRPr="00ED7BE1">
        <w:t>: How protection should be achieved</w:t>
      </w:r>
    </w:p>
    <w:p w:rsidR="009E51D5" w:rsidRPr="00ED7BE1" w:rsidRDefault="009E51D5" w:rsidP="009E51D5">
      <w:pPr>
        <w:rPr>
          <w:rFonts w:cs="Arial"/>
          <w:bCs/>
          <w:sz w:val="22"/>
          <w:szCs w:val="22"/>
        </w:rPr>
      </w:pPr>
    </w:p>
    <w:p w:rsidR="009E51D5" w:rsidRPr="00ED7BE1" w:rsidRDefault="009E51D5" w:rsidP="009E51D5">
      <w:pPr>
        <w:pStyle w:val="ECCParagraph"/>
      </w:pPr>
      <w:r w:rsidRPr="00ED7BE1">
        <w:t xml:space="preserve">18 answers suggested that standards in general or increasing the scope of ETSI EN 300 220 </w:t>
      </w:r>
      <w:r w:rsidR="00532580">
        <w:fldChar w:fldCharType="begin"/>
      </w:r>
      <w:r w:rsidR="00532580">
        <w:instrText xml:space="preserve"> REF _Ref321997867 \r \h </w:instrText>
      </w:r>
      <w:r w:rsidR="00532580">
        <w:fldChar w:fldCharType="separate"/>
      </w:r>
      <w:r w:rsidR="001A06A7">
        <w:t>[2]</w:t>
      </w:r>
      <w:r w:rsidR="00532580">
        <w:fldChar w:fldCharType="end"/>
      </w:r>
      <w:r w:rsidR="00532580">
        <w:t xml:space="preserve"> </w:t>
      </w:r>
      <w:r w:rsidRPr="00ED7BE1">
        <w:t xml:space="preserve">could achieve protection. However, more than half of these 18 answers see this as complementing spectrum management. </w:t>
      </w:r>
    </w:p>
    <w:p w:rsidR="009E51D5" w:rsidRPr="00ED7BE1" w:rsidRDefault="009E51D5" w:rsidP="009E51D5">
      <w:pPr>
        <w:pStyle w:val="ECCParagraph"/>
      </w:pPr>
      <w:r w:rsidRPr="00ED7BE1">
        <w:lastRenderedPageBreak/>
        <w:t>Some responders recommended better receivers to improve the situation (category 1 receivers as defined in ETSI EN 300</w:t>
      </w:r>
      <w:r w:rsidR="00532580">
        <w:t> </w:t>
      </w:r>
      <w:r w:rsidRPr="00ED7BE1">
        <w:t>220</w:t>
      </w:r>
      <w:r w:rsidR="00532580">
        <w:t xml:space="preserve"> </w:t>
      </w:r>
      <w:r w:rsidR="00532580">
        <w:fldChar w:fldCharType="begin"/>
      </w:r>
      <w:r w:rsidR="00532580">
        <w:instrText xml:space="preserve"> REF _Ref321997867 \r \h </w:instrText>
      </w:r>
      <w:r w:rsidR="00532580">
        <w:fldChar w:fldCharType="separate"/>
      </w:r>
      <w:r w:rsidR="001A06A7">
        <w:t>[2]</w:t>
      </w:r>
      <w:r w:rsidR="00532580">
        <w:fldChar w:fldCharType="end"/>
      </w:r>
      <w:r w:rsidRPr="00ED7BE1">
        <w:t>). Another technical suggestion was that intrusion/fire wireless life safety systems were designed for the protection of people and property, hence should have overriding priority over generic/non-specific SRDs.</w:t>
      </w:r>
    </w:p>
    <w:p w:rsidR="009E51D5" w:rsidRDefault="009E51D5" w:rsidP="009E51D5">
      <w:pPr>
        <w:pStyle w:val="ECCParagraph"/>
      </w:pPr>
      <w:r w:rsidRPr="00ED7BE1">
        <w:t>Education of the end users was not considered a realistic option for achieving protection</w:t>
      </w:r>
      <w:r>
        <w:t>. N</w:t>
      </w:r>
      <w:r w:rsidRPr="00ED7BE1">
        <w:t>evertheless</w:t>
      </w:r>
      <w:r>
        <w:t>, it could be helpful.</w:t>
      </w:r>
    </w:p>
    <w:tbl>
      <w:tblPr>
        <w:tblW w:w="0" w:type="auto"/>
        <w:tblBorders>
          <w:top w:val="single" w:sz="4" w:space="0" w:color="D2232A"/>
          <w:left w:val="single" w:sz="4" w:space="0" w:color="D2232A"/>
          <w:bottom w:val="single" w:sz="4" w:space="0" w:color="D2232A"/>
          <w:right w:val="single" w:sz="4" w:space="0" w:color="D2232A"/>
          <w:insideH w:val="single" w:sz="4" w:space="0" w:color="D2232A"/>
          <w:insideV w:val="single" w:sz="4" w:space="0" w:color="D2232A"/>
        </w:tblBorders>
        <w:tblCellMar>
          <w:top w:w="11" w:type="dxa"/>
          <w:bottom w:w="11" w:type="dxa"/>
        </w:tblCellMar>
        <w:tblLook w:val="01E0" w:firstRow="1" w:lastRow="1" w:firstColumn="1" w:lastColumn="1" w:noHBand="0" w:noVBand="0"/>
      </w:tblPr>
      <w:tblGrid>
        <w:gridCol w:w="9855"/>
      </w:tblGrid>
      <w:tr w:rsidR="009E51D5" w:rsidRPr="00116031" w:rsidTr="009E51D5">
        <w:trPr>
          <w:tblHeader/>
        </w:trPr>
        <w:tc>
          <w:tcPr>
            <w:tcW w:w="9855" w:type="dxa"/>
            <w:shd w:val="clear" w:color="auto" w:fill="D2232A"/>
            <w:vAlign w:val="center"/>
          </w:tcPr>
          <w:p w:rsidR="009E51D5" w:rsidRPr="000135B2" w:rsidRDefault="009E51D5" w:rsidP="004940CA">
            <w:pPr>
              <w:pStyle w:val="ECCParagraph"/>
              <w:jc w:val="center"/>
              <w:rPr>
                <w:b/>
                <w:color w:val="FFFFFF" w:themeColor="background1"/>
              </w:rPr>
            </w:pPr>
            <w:r w:rsidRPr="000135B2">
              <w:rPr>
                <w:b/>
                <w:color w:val="FFFFFF" w:themeColor="background1"/>
              </w:rPr>
              <w:t>Assessment (with regard to question 14 and question 15):</w:t>
            </w:r>
          </w:p>
        </w:tc>
      </w:tr>
      <w:tr w:rsidR="009E51D5" w:rsidRPr="00D52AE5" w:rsidTr="009E51D5">
        <w:tc>
          <w:tcPr>
            <w:tcW w:w="9855" w:type="dxa"/>
            <w:vAlign w:val="center"/>
          </w:tcPr>
          <w:p w:rsidR="009E51D5" w:rsidRPr="000135B2" w:rsidRDefault="009E51D5" w:rsidP="009E51D5">
            <w:pPr>
              <w:rPr>
                <w:rFonts w:cs="Arial"/>
                <w:bCs/>
                <w:szCs w:val="20"/>
              </w:rPr>
            </w:pPr>
            <w:r w:rsidRPr="000135B2">
              <w:rPr>
                <w:rFonts w:cs="Arial"/>
                <w:bCs/>
                <w:szCs w:val="20"/>
              </w:rPr>
              <w:t xml:space="preserve">The summary represents the views from industry. Many application sectors claim to deserve special treatment, i.e. protection.  </w:t>
            </w:r>
          </w:p>
          <w:p w:rsidR="009E51D5" w:rsidRPr="000135B2" w:rsidRDefault="009E51D5" w:rsidP="009E51D5">
            <w:pPr>
              <w:rPr>
                <w:rFonts w:cs="Arial"/>
                <w:bCs/>
                <w:szCs w:val="20"/>
              </w:rPr>
            </w:pPr>
          </w:p>
          <w:p w:rsidR="009E51D5" w:rsidRPr="000135B2" w:rsidRDefault="009E51D5" w:rsidP="009E51D5">
            <w:pPr>
              <w:rPr>
                <w:rFonts w:cs="Arial"/>
                <w:bCs/>
                <w:szCs w:val="20"/>
              </w:rPr>
            </w:pPr>
            <w:r w:rsidRPr="000135B2">
              <w:rPr>
                <w:rFonts w:cs="Arial"/>
                <w:bCs/>
                <w:szCs w:val="20"/>
              </w:rPr>
              <w:t>In general, true protection may only be</w:t>
            </w:r>
            <w:r w:rsidRPr="00195FFB">
              <w:rPr>
                <w:rFonts w:cs="Arial"/>
                <w:bCs/>
                <w:szCs w:val="20"/>
                <w:lang w:val="en-GB"/>
              </w:rPr>
              <w:t xml:space="preserve"> realised</w:t>
            </w:r>
            <w:r w:rsidRPr="000135B2">
              <w:rPr>
                <w:rFonts w:cs="Arial"/>
                <w:bCs/>
                <w:szCs w:val="20"/>
              </w:rPr>
              <w:t xml:space="preserve"> in three ways</w:t>
            </w:r>
          </w:p>
          <w:p w:rsidR="009E51D5" w:rsidRPr="000135B2" w:rsidRDefault="009E51D5" w:rsidP="009E51D5">
            <w:pPr>
              <w:pStyle w:val="ECCNumberedBullets"/>
              <w:numPr>
                <w:ilvl w:val="0"/>
                <w:numId w:val="10"/>
              </w:numPr>
            </w:pPr>
            <w:r w:rsidRPr="000135B2">
              <w:t>By spectrum management with licensing</w:t>
            </w:r>
          </w:p>
          <w:p w:rsidR="009E51D5" w:rsidRPr="000135B2" w:rsidRDefault="009E51D5" w:rsidP="009E51D5">
            <w:pPr>
              <w:pStyle w:val="ECCNumberedBullets"/>
              <w:numPr>
                <w:ilvl w:val="0"/>
                <w:numId w:val="10"/>
              </w:numPr>
            </w:pPr>
            <w:r w:rsidRPr="000135B2">
              <w:t xml:space="preserve">By spectrum management without licensing </w:t>
            </w:r>
          </w:p>
          <w:p w:rsidR="009E51D5" w:rsidRPr="000135B2" w:rsidRDefault="009E51D5" w:rsidP="009E51D5">
            <w:pPr>
              <w:pStyle w:val="ECCNumberedBullets"/>
              <w:numPr>
                <w:ilvl w:val="0"/>
                <w:numId w:val="10"/>
              </w:numPr>
            </w:pPr>
            <w:r w:rsidRPr="000135B2">
              <w:t>A combination of equal spectrum access mandated by standards in combination with self-protection in the form of for example redundancy, acknowledgement mechanisms or error correction.</w:t>
            </w:r>
          </w:p>
          <w:p w:rsidR="009E51D5" w:rsidRPr="000135B2" w:rsidRDefault="009E51D5" w:rsidP="009E51D5">
            <w:pPr>
              <w:rPr>
                <w:rFonts w:cs="Arial"/>
                <w:bCs/>
                <w:szCs w:val="20"/>
              </w:rPr>
            </w:pPr>
          </w:p>
          <w:p w:rsidR="009E51D5" w:rsidRPr="000135B2" w:rsidRDefault="009E51D5" w:rsidP="009E51D5">
            <w:pPr>
              <w:rPr>
                <w:rFonts w:cs="Arial"/>
                <w:bCs/>
                <w:szCs w:val="20"/>
              </w:rPr>
            </w:pPr>
            <w:r w:rsidRPr="000135B2">
              <w:rPr>
                <w:rFonts w:cs="Arial"/>
                <w:bCs/>
                <w:szCs w:val="20"/>
              </w:rPr>
              <w:t xml:space="preserve">The problem with certain SRD applications is that nowadays is chosen for “options 2 with a little bit of option 3”. </w:t>
            </w:r>
          </w:p>
          <w:p w:rsidR="009E51D5" w:rsidRPr="000135B2" w:rsidRDefault="009E51D5" w:rsidP="009E51D5">
            <w:pPr>
              <w:rPr>
                <w:rFonts w:cs="Arial"/>
                <w:bCs/>
                <w:szCs w:val="20"/>
              </w:rPr>
            </w:pPr>
            <w:r w:rsidRPr="000135B2">
              <w:rPr>
                <w:rFonts w:cs="Arial"/>
                <w:bCs/>
                <w:szCs w:val="20"/>
              </w:rPr>
              <w:t>Option three should be the preferred one in the future creating an environment of constant average availability of spectrum.</w:t>
            </w:r>
          </w:p>
          <w:p w:rsidR="009E51D5" w:rsidRPr="000135B2" w:rsidRDefault="009E51D5" w:rsidP="009E51D5">
            <w:pPr>
              <w:rPr>
                <w:rFonts w:cs="Arial"/>
                <w:bCs/>
                <w:szCs w:val="20"/>
              </w:rPr>
            </w:pPr>
          </w:p>
          <w:p w:rsidR="009E51D5" w:rsidRPr="00D52AE5" w:rsidRDefault="009E51D5" w:rsidP="009E51D5">
            <w:pPr>
              <w:pStyle w:val="ECCParagraph"/>
            </w:pPr>
            <w:r w:rsidRPr="000135B2">
              <w:rPr>
                <w:rFonts w:cs="Arial"/>
                <w:bCs/>
                <w:szCs w:val="20"/>
              </w:rPr>
              <w:t>Should spectrum management be needed for special SRD applications, the proponents would need to provide the evidence which would support extra treatment, i.e. dedicated spectrum with/without licensing?</w:t>
            </w:r>
          </w:p>
        </w:tc>
      </w:tr>
    </w:tbl>
    <w:p w:rsidR="009E51D5" w:rsidRDefault="009E51D5" w:rsidP="009E51D5">
      <w:pPr>
        <w:keepNext/>
        <w:keepLines/>
        <w:rPr>
          <w:rFonts w:cs="Arial"/>
          <w:bCs/>
          <w:sz w:val="22"/>
          <w:szCs w:val="22"/>
        </w:rPr>
      </w:pPr>
    </w:p>
    <w:p w:rsidR="009E51D5" w:rsidRDefault="009E51D5" w:rsidP="009E51D5">
      <w:pPr>
        <w:keepNext/>
        <w:keepLines/>
        <w:rPr>
          <w:rFonts w:cs="Arial"/>
          <w:b/>
          <w:bCs/>
        </w:rPr>
      </w:pPr>
      <w:r w:rsidRPr="00ED7BE1">
        <w:rPr>
          <w:rFonts w:cs="Arial"/>
          <w:b/>
          <w:bCs/>
        </w:rPr>
        <w:t>Question 16:</w:t>
      </w:r>
    </w:p>
    <w:p w:rsidR="009E51D5" w:rsidRDefault="009E51D5" w:rsidP="009E51D5">
      <w:pPr>
        <w:keepNext/>
        <w:keepLines/>
        <w:rPr>
          <w:rFonts w:cs="Arial"/>
          <w:b/>
          <w:bCs/>
        </w:rPr>
      </w:pPr>
      <w:r w:rsidRPr="00ED7BE1">
        <w:rPr>
          <w:rFonts w:cs="Arial"/>
          <w:b/>
          <w:bCs/>
        </w:rPr>
        <w:t xml:space="preserve">Do you feel it is possible to enhance the existing 863-870 MHz band regulations? </w:t>
      </w:r>
      <w:r>
        <w:rPr>
          <w:rFonts w:cs="Arial"/>
          <w:b/>
          <w:bCs/>
        </w:rPr>
        <w:t xml:space="preserve">E.g. </w:t>
      </w:r>
      <w:r w:rsidRPr="00ED7BE1">
        <w:rPr>
          <w:rFonts w:cs="Arial"/>
          <w:b/>
          <w:bCs/>
        </w:rPr>
        <w:t>reducing further band segmentation.</w:t>
      </w:r>
    </w:p>
    <w:p w:rsidR="009E51D5" w:rsidRPr="00ED7BE1" w:rsidRDefault="009E51D5" w:rsidP="009E51D5">
      <w:pPr>
        <w:keepNext/>
        <w:keepLines/>
        <w:rPr>
          <w:rFonts w:cs="Arial"/>
          <w:b/>
          <w:bCs/>
        </w:rPr>
      </w:pPr>
    </w:p>
    <w:p w:rsidR="009E51D5" w:rsidRPr="000135B2" w:rsidRDefault="009E51D5" w:rsidP="009E51D5">
      <w:pPr>
        <w:pStyle w:val="ECCParagraph"/>
        <w:keepNext/>
        <w:keepLines/>
        <w:spacing w:after="0"/>
      </w:pPr>
      <w:r w:rsidRPr="000135B2">
        <w:t xml:space="preserve">30 answers were provided YES and 26 answers were provided NO.  </w:t>
      </w:r>
    </w:p>
    <w:p w:rsidR="009E51D5" w:rsidRPr="00ED7BE1" w:rsidRDefault="009E51D5" w:rsidP="009E51D5">
      <w:pPr>
        <w:jc w:val="center"/>
        <w:rPr>
          <w:rFonts w:cs="Arial"/>
          <w:b/>
          <w:bCs/>
        </w:rPr>
      </w:pPr>
      <w:r>
        <w:rPr>
          <w:rFonts w:cs="Arial"/>
          <w:bCs/>
          <w:noProof/>
          <w:lang w:val="da-DK" w:eastAsia="da-DK"/>
        </w:rPr>
        <w:drawing>
          <wp:inline distT="0" distB="0" distL="0" distR="0" wp14:anchorId="50684D30" wp14:editId="4C660BB2">
            <wp:extent cx="4051300" cy="2235200"/>
            <wp:effectExtent l="0" t="0" r="0" b="0"/>
            <wp:docPr id="37" name="Chart 3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9E51D5" w:rsidRPr="00ED7BE1" w:rsidRDefault="009E51D5" w:rsidP="009E51D5">
      <w:pPr>
        <w:pStyle w:val="Caption"/>
      </w:pPr>
      <w:r>
        <w:t xml:space="preserve">Figure </w:t>
      </w:r>
      <w:r>
        <w:fldChar w:fldCharType="begin"/>
      </w:r>
      <w:r>
        <w:instrText xml:space="preserve"> SEQ Figure \* ARABIC </w:instrText>
      </w:r>
      <w:r>
        <w:fldChar w:fldCharType="separate"/>
      </w:r>
      <w:r w:rsidR="001A06A7">
        <w:rPr>
          <w:noProof/>
        </w:rPr>
        <w:t>20</w:t>
      </w:r>
      <w:r>
        <w:fldChar w:fldCharType="end"/>
      </w:r>
      <w:r w:rsidRPr="00ED7BE1">
        <w:t>: Can one enhance the existing 863-870 MHz regulation?</w:t>
      </w:r>
    </w:p>
    <w:p w:rsidR="009E51D5" w:rsidRPr="00653751" w:rsidRDefault="009E51D5" w:rsidP="009E51D5">
      <w:pPr>
        <w:pStyle w:val="ECCParagraph"/>
        <w:spacing w:after="120"/>
      </w:pPr>
      <w:r w:rsidRPr="00653751">
        <w:t>The following statements were made by those who responded with YES:</w:t>
      </w:r>
    </w:p>
    <w:p w:rsidR="009E51D5" w:rsidRPr="005A39A3" w:rsidRDefault="009E51D5" w:rsidP="009E51D5">
      <w:pPr>
        <w:pStyle w:val="ECCParBulleted"/>
        <w:spacing w:after="120"/>
      </w:pPr>
      <w:r w:rsidRPr="005A39A3">
        <w:t>more simplicity could be reached;</w:t>
      </w:r>
    </w:p>
    <w:p w:rsidR="009E51D5" w:rsidRPr="005A39A3" w:rsidRDefault="009E51D5" w:rsidP="009E51D5">
      <w:pPr>
        <w:pStyle w:val="ECCParBulleted"/>
        <w:spacing w:after="120"/>
      </w:pPr>
      <w:r w:rsidRPr="005A39A3">
        <w:t>remove 300 kHz restriction in the g subband;</w:t>
      </w:r>
    </w:p>
    <w:p w:rsidR="009E51D5" w:rsidRPr="005A39A3" w:rsidRDefault="009E51D5" w:rsidP="009E51D5">
      <w:pPr>
        <w:pStyle w:val="ECCParBulleted"/>
        <w:spacing w:after="120"/>
      </w:pPr>
      <w:r w:rsidRPr="005A39A3">
        <w:t>RFID: elimination of 100 ms RFID off-time;</w:t>
      </w:r>
    </w:p>
    <w:p w:rsidR="009E51D5" w:rsidRPr="005A39A3" w:rsidRDefault="009E51D5" w:rsidP="009E51D5">
      <w:pPr>
        <w:pStyle w:val="ECCParBulleted"/>
        <w:spacing w:after="120"/>
      </w:pPr>
      <w:r w:rsidRPr="005A39A3">
        <w:t>Regular audits are necessary to remove old “died out” regulations;</w:t>
      </w:r>
    </w:p>
    <w:p w:rsidR="009E51D5" w:rsidRPr="005A39A3" w:rsidRDefault="009E51D5" w:rsidP="009E51D5">
      <w:pPr>
        <w:pStyle w:val="ECCParBulleted"/>
        <w:spacing w:after="120"/>
      </w:pPr>
      <w:r w:rsidRPr="005A39A3">
        <w:t>Remove dedicated alarm bands;</w:t>
      </w:r>
    </w:p>
    <w:p w:rsidR="009E51D5" w:rsidRPr="005A39A3" w:rsidRDefault="009E51D5" w:rsidP="009E51D5">
      <w:pPr>
        <w:pStyle w:val="ECCParBulleted"/>
        <w:spacing w:after="120"/>
      </w:pPr>
      <w:r w:rsidRPr="005A39A3">
        <w:lastRenderedPageBreak/>
        <w:t>Open to 500 kHz wide, max 25 mW under DC  regime (would be more in line with current RF semiconductors on the market and would support higher data rates);</w:t>
      </w:r>
    </w:p>
    <w:p w:rsidR="009E51D5" w:rsidRPr="005A39A3" w:rsidRDefault="009E51D5" w:rsidP="009E51D5">
      <w:pPr>
        <w:pStyle w:val="ECCParBulleted"/>
        <w:spacing w:after="120"/>
      </w:pPr>
      <w:r w:rsidRPr="005A39A3">
        <w:t>Existing regulation would block the development of new applications (voice in some bands not possible). Therefore, open “green fields” and be more open towards new applications, and possibly also to larger and free use, also supporting possible disturbances; in other words: make the spectrum regulation more liberal to allow for easier development of new services and applications. The regulations as they are now are one of the major blockers for development of new applications;</w:t>
      </w:r>
    </w:p>
    <w:p w:rsidR="009E51D5" w:rsidRPr="005A39A3" w:rsidRDefault="009E51D5" w:rsidP="009E51D5">
      <w:pPr>
        <w:pStyle w:val="ECCParBulleted"/>
        <w:spacing w:after="120"/>
      </w:pPr>
      <w:r w:rsidRPr="005A39A3">
        <w:t>Move RFID closer to 915 MHz like in USA and Japan;</w:t>
      </w:r>
    </w:p>
    <w:p w:rsidR="009E51D5" w:rsidRPr="005A39A3" w:rsidRDefault="009E51D5" w:rsidP="009E51D5">
      <w:pPr>
        <w:pStyle w:val="ECCParBulleted"/>
        <w:spacing w:after="120"/>
      </w:pPr>
      <w:r w:rsidRPr="005A39A3">
        <w:t>Remove unnecessary band segmentations (or channel spacings) and allow for more continuous bandwidth; also: reducing the regimentation of windows such as alarm systems;</w:t>
      </w:r>
    </w:p>
    <w:p w:rsidR="009E51D5" w:rsidRPr="005A39A3" w:rsidRDefault="009E51D5" w:rsidP="009E51D5">
      <w:pPr>
        <w:pStyle w:val="ECCParBulleted"/>
        <w:spacing w:after="120"/>
      </w:pPr>
      <w:r w:rsidRPr="005A39A3">
        <w:t>Group bands g1 and g2;</w:t>
      </w:r>
    </w:p>
    <w:p w:rsidR="009E51D5" w:rsidRPr="005A39A3" w:rsidRDefault="009E51D5" w:rsidP="009E51D5">
      <w:pPr>
        <w:pStyle w:val="ECCParBulleted"/>
        <w:spacing w:after="120"/>
      </w:pPr>
      <w:r w:rsidRPr="005A39A3">
        <w:t>Combine the whole 863-870 MHz spectrum under one regulation;</w:t>
      </w:r>
    </w:p>
    <w:p w:rsidR="009E51D5" w:rsidRPr="005A39A3" w:rsidRDefault="009E51D5" w:rsidP="009E51D5">
      <w:pPr>
        <w:pStyle w:val="ECCParBulleted"/>
        <w:spacing w:after="120"/>
      </w:pPr>
      <w:r w:rsidRPr="005A39A3">
        <w:t>More RF channels;</w:t>
      </w:r>
    </w:p>
    <w:p w:rsidR="009E51D5" w:rsidRPr="005A39A3" w:rsidRDefault="009E51D5" w:rsidP="009E51D5">
      <w:pPr>
        <w:pStyle w:val="ECCParBulleted"/>
        <w:spacing w:after="120"/>
      </w:pPr>
      <w:r w:rsidRPr="005A39A3">
        <w:t>Limit number of access technologies;</w:t>
      </w:r>
    </w:p>
    <w:p w:rsidR="009E51D5" w:rsidRPr="005A39A3" w:rsidRDefault="009E51D5" w:rsidP="009E51D5">
      <w:pPr>
        <w:pStyle w:val="ECCParBulleted"/>
        <w:spacing w:after="120"/>
      </w:pPr>
      <w:r w:rsidRPr="005A39A3">
        <w:t>Remove impractical features such as FH+LBT+AFA;</w:t>
      </w:r>
    </w:p>
    <w:p w:rsidR="009E51D5" w:rsidRPr="005A39A3" w:rsidRDefault="009E51D5" w:rsidP="009E51D5">
      <w:pPr>
        <w:pStyle w:val="ECCParBulleted"/>
        <w:spacing w:after="120"/>
      </w:pPr>
      <w:r w:rsidRPr="005A39A3">
        <w:t>Reconsider extremely low duty cycle (0,1%);</w:t>
      </w:r>
    </w:p>
    <w:p w:rsidR="009E51D5" w:rsidRPr="005A39A3" w:rsidRDefault="009E51D5" w:rsidP="009E51D5">
      <w:pPr>
        <w:pStyle w:val="ECCParBulleted"/>
        <w:spacing w:after="120"/>
      </w:pPr>
      <w:r w:rsidRPr="005A39A3">
        <w:t>The whole band 863-870 MHz would be usable if one could apply a free LBT;</w:t>
      </w:r>
    </w:p>
    <w:p w:rsidR="009E51D5" w:rsidRDefault="009E51D5" w:rsidP="009E51D5">
      <w:pPr>
        <w:pStyle w:val="ECCParBulleted"/>
        <w:spacing w:after="120"/>
      </w:pPr>
      <w:r w:rsidRPr="005A39A3">
        <w:t>There are opportunities to combine application segments and make those bands more versatile.</w:t>
      </w:r>
    </w:p>
    <w:p w:rsidR="009E51D5" w:rsidRPr="005A39A3" w:rsidRDefault="009E51D5" w:rsidP="009E51D5">
      <w:pPr>
        <w:pStyle w:val="ECCParBulleted"/>
        <w:numPr>
          <w:ilvl w:val="0"/>
          <w:numId w:val="0"/>
        </w:numPr>
        <w:ind w:left="340" w:hanging="340"/>
      </w:pPr>
    </w:p>
    <w:p w:rsidR="009E51D5" w:rsidRPr="005A39A3" w:rsidRDefault="009E51D5" w:rsidP="009E51D5">
      <w:pPr>
        <w:pStyle w:val="ECCParagraph"/>
        <w:keepNext/>
        <w:spacing w:after="120"/>
      </w:pPr>
      <w:r w:rsidRPr="005A39A3">
        <w:t>The following statements were made by those who responded with No:</w:t>
      </w:r>
    </w:p>
    <w:p w:rsidR="009E51D5" w:rsidRPr="005A39A3" w:rsidRDefault="009E51D5" w:rsidP="009E51D5">
      <w:pPr>
        <w:pStyle w:val="ECCParBulleted"/>
        <w:keepNext/>
        <w:spacing w:after="120"/>
      </w:pPr>
      <w:r w:rsidRPr="005A39A3">
        <w:t>Leave as it is because changes have a huge effect on  many products</w:t>
      </w:r>
    </w:p>
    <w:p w:rsidR="009E51D5" w:rsidRPr="005A39A3" w:rsidRDefault="009E51D5" w:rsidP="009E51D5">
      <w:pPr>
        <w:pStyle w:val="ECCParBulleted"/>
        <w:keepNext/>
        <w:spacing w:after="120"/>
      </w:pPr>
      <w:r w:rsidRPr="005A39A3">
        <w:t>The current solution has the right balance;</w:t>
      </w:r>
    </w:p>
    <w:p w:rsidR="009E51D5" w:rsidRPr="005A39A3" w:rsidRDefault="009E51D5" w:rsidP="009E51D5">
      <w:pPr>
        <w:pStyle w:val="ECCParBulleted"/>
        <w:spacing w:after="120"/>
      </w:pPr>
      <w:r w:rsidRPr="005A39A3">
        <w:t>The current solution works;</w:t>
      </w:r>
    </w:p>
    <w:p w:rsidR="009E51D5" w:rsidRPr="00ED7BE1" w:rsidRDefault="009E51D5" w:rsidP="009E51D5">
      <w:pPr>
        <w:pStyle w:val="ECCParBulleted"/>
        <w:spacing w:after="120"/>
        <w:rPr>
          <w:b/>
        </w:rPr>
      </w:pPr>
      <w:r w:rsidRPr="005A39A3">
        <w:t>Do not allow less stringent methods. Regulation</w:t>
      </w:r>
      <w:r w:rsidRPr="00ED7BE1">
        <w:t xml:space="preserve"> should be more aggressive against RF hungry methods.</w:t>
      </w:r>
    </w:p>
    <w:p w:rsidR="009E51D5" w:rsidRPr="00ED7BE1" w:rsidRDefault="009E51D5" w:rsidP="009E51D5">
      <w:pPr>
        <w:pStyle w:val="ECCParBulleted"/>
        <w:spacing w:after="120"/>
      </w:pPr>
      <w:r w:rsidRPr="00ED7BE1">
        <w:t>The latest update of ERC/REC 70-03 Annex 1</w:t>
      </w:r>
      <w:r w:rsidR="00532580">
        <w:t xml:space="preserve"> </w:t>
      </w:r>
      <w:r w:rsidR="00532580">
        <w:fldChar w:fldCharType="begin"/>
      </w:r>
      <w:r w:rsidR="00532580">
        <w:instrText xml:space="preserve"> REF _Ref321997834 \r \h </w:instrText>
      </w:r>
      <w:r w:rsidR="00532580">
        <w:fldChar w:fldCharType="separate"/>
      </w:r>
      <w:r w:rsidR="001A06A7">
        <w:t>[1]</w:t>
      </w:r>
      <w:r w:rsidR="00532580">
        <w:fldChar w:fldCharType="end"/>
      </w:r>
      <w:r w:rsidRPr="00ED7BE1">
        <w:t xml:space="preserve"> was a reasonable arrangement that balance legacy and technical innovation well keeping highest interference free possible reliable operation meanwhile offering flexibility. </w:t>
      </w:r>
    </w:p>
    <w:p w:rsidR="009E51D5" w:rsidRDefault="009E51D5" w:rsidP="009E51D5">
      <w:pPr>
        <w:pStyle w:val="ECCParagraph"/>
      </w:pPr>
      <w:r w:rsidRPr="00ED7BE1">
        <w:t>Changes were also seen as providing adverse effects as well as positive outcomes for some existing users. Some users have products which were designed using one access protocol and limited applications in the available channels so there was no conflict. Moving to another protocol or combining with users having another protocol would mean redesigning existing product</w:t>
      </w:r>
      <w:r>
        <w:t>s</w:t>
      </w:r>
      <w:r w:rsidRPr="00ED7BE1">
        <w:t xml:space="preserve"> and potentially adding significant cost</w:t>
      </w:r>
      <w:r>
        <w:t>s</w:t>
      </w:r>
      <w:r w:rsidRPr="00ED7BE1">
        <w:t>.  If this w</w:t>
      </w:r>
      <w:r>
        <w:t>as</w:t>
      </w:r>
      <w:r w:rsidRPr="00ED7BE1">
        <w:t xml:space="preserve"> planned there would need to be a long term plan with a known timeline so that care can be taken of the existing user base as well as available products (bearing in mind that some products have long in-use service lives).</w:t>
      </w:r>
    </w:p>
    <w:tbl>
      <w:tblPr>
        <w:tblW w:w="0" w:type="auto"/>
        <w:tblBorders>
          <w:top w:val="single" w:sz="4" w:space="0" w:color="D2232A"/>
          <w:left w:val="single" w:sz="4" w:space="0" w:color="D2232A"/>
          <w:bottom w:val="single" w:sz="4" w:space="0" w:color="D2232A"/>
          <w:right w:val="single" w:sz="4" w:space="0" w:color="D2232A"/>
          <w:insideH w:val="single" w:sz="4" w:space="0" w:color="D2232A"/>
          <w:insideV w:val="single" w:sz="4" w:space="0" w:color="D2232A"/>
        </w:tblBorders>
        <w:tblCellMar>
          <w:top w:w="11" w:type="dxa"/>
          <w:bottom w:w="11" w:type="dxa"/>
        </w:tblCellMar>
        <w:tblLook w:val="01E0" w:firstRow="1" w:lastRow="1" w:firstColumn="1" w:lastColumn="1" w:noHBand="0" w:noVBand="0"/>
      </w:tblPr>
      <w:tblGrid>
        <w:gridCol w:w="9855"/>
      </w:tblGrid>
      <w:tr w:rsidR="009E51D5" w:rsidRPr="00116031" w:rsidTr="009E51D5">
        <w:trPr>
          <w:tblHeader/>
        </w:trPr>
        <w:tc>
          <w:tcPr>
            <w:tcW w:w="9855" w:type="dxa"/>
            <w:shd w:val="clear" w:color="auto" w:fill="D2232A"/>
            <w:vAlign w:val="center"/>
          </w:tcPr>
          <w:p w:rsidR="009E51D5" w:rsidRPr="00116031" w:rsidRDefault="009E51D5" w:rsidP="004940CA">
            <w:pPr>
              <w:pStyle w:val="ECCParagraph"/>
              <w:jc w:val="center"/>
              <w:rPr>
                <w:b/>
                <w:color w:val="FFFFFF" w:themeColor="background1"/>
              </w:rPr>
            </w:pPr>
            <w:r w:rsidRPr="00116031">
              <w:rPr>
                <w:b/>
                <w:color w:val="FFFFFF" w:themeColor="background1"/>
              </w:rPr>
              <w:t>Assessment</w:t>
            </w:r>
          </w:p>
        </w:tc>
      </w:tr>
      <w:tr w:rsidR="009E51D5" w:rsidRPr="00D52AE5" w:rsidTr="009E51D5">
        <w:tc>
          <w:tcPr>
            <w:tcW w:w="9855" w:type="dxa"/>
            <w:vAlign w:val="center"/>
          </w:tcPr>
          <w:p w:rsidR="009E51D5" w:rsidRDefault="004940CA" w:rsidP="009E51D5">
            <w:pPr>
              <w:pStyle w:val="ECCParagraph"/>
            </w:pPr>
            <w:r>
              <w:t>C</w:t>
            </w:r>
            <w:r w:rsidR="009E51D5" w:rsidRPr="00DC55F3">
              <w:t>onsider a number of the suggestions in detail.</w:t>
            </w:r>
          </w:p>
          <w:p w:rsidR="009E51D5" w:rsidRDefault="009E51D5" w:rsidP="009E51D5">
            <w:pPr>
              <w:pStyle w:val="ECCParagraph"/>
            </w:pPr>
            <w:r>
              <w:t xml:space="preserve">Review alarm bands and associated restrictions. This concerns not only alarms but also other SRD applications having similar requirements, i.e. investigate a more application neutral usage of these frequencies. It is noted that an ETSI SRDoc is in preparation. A concept could be investigated taking into account the existing and additional frequencies for alarms and applications having similar requirements. In addition, a solution for grouping of the frequencies from 868 MHz to 869.2 MHz may need to be investigated in this context. The change of the &lt;&lt;noise environment&gt;&gt; may also have some influence. </w:t>
            </w:r>
          </w:p>
          <w:p w:rsidR="009E51D5" w:rsidRDefault="009E51D5" w:rsidP="009E51D5">
            <w:pPr>
              <w:pStyle w:val="ECCParagraph"/>
            </w:pPr>
            <w:r>
              <w:t xml:space="preserve">Input from the WGFM workshop showed that there are many applications using extreme low duty cycles. A review of the low duty cycle, also in combination with the transmitter activity factor and/or instantaneous duty cycle may open new spectrum usage opportunities for SRD applications and is therefore proposed to be </w:t>
            </w:r>
            <w:r>
              <w:lastRenderedPageBreak/>
              <w:t>studied. ETSI STF 411</w:t>
            </w:r>
            <w:r w:rsidR="00532580">
              <w:t xml:space="preserve"> </w:t>
            </w:r>
            <w:r w:rsidR="00532580">
              <w:fldChar w:fldCharType="begin"/>
            </w:r>
            <w:r w:rsidR="00532580">
              <w:instrText xml:space="preserve"> REF _Ref321998170 \r \h </w:instrText>
            </w:r>
            <w:r w:rsidR="00532580">
              <w:fldChar w:fldCharType="separate"/>
            </w:r>
            <w:r w:rsidR="001A06A7">
              <w:t>[3]</w:t>
            </w:r>
            <w:r w:rsidR="00532580">
              <w:fldChar w:fldCharType="end"/>
            </w:r>
            <w:r>
              <w:t xml:space="preserve"> is also studying this subject.</w:t>
            </w:r>
          </w:p>
          <w:p w:rsidR="009E51D5" w:rsidRPr="00D52AE5" w:rsidRDefault="009E51D5" w:rsidP="009E51D5">
            <w:pPr>
              <w:pStyle w:val="ECCParagraph"/>
            </w:pPr>
            <w:r>
              <w:t xml:space="preserve">Opportunities for combining frequency bands will need to be discussed more in detail. This can avoid “unintended band edges”. A similar statement as in the EC Decision or in </w:t>
            </w:r>
            <w:r w:rsidR="00532580">
              <w:t xml:space="preserve">ETSI </w:t>
            </w:r>
            <w:r>
              <w:t>EN 300</w:t>
            </w:r>
            <w:r w:rsidR="00532580">
              <w:t> </w:t>
            </w:r>
            <w:r>
              <w:t>220</w:t>
            </w:r>
            <w:r w:rsidR="00532580">
              <w:t xml:space="preserve"> </w:t>
            </w:r>
            <w:r w:rsidR="00532580">
              <w:fldChar w:fldCharType="begin"/>
            </w:r>
            <w:r w:rsidR="00532580">
              <w:instrText xml:space="preserve"> REF _Ref321997867 \r \h </w:instrText>
            </w:r>
            <w:r w:rsidR="00532580">
              <w:fldChar w:fldCharType="separate"/>
            </w:r>
            <w:r w:rsidR="001A06A7">
              <w:t>[2]</w:t>
            </w:r>
            <w:r w:rsidR="00532580">
              <w:fldChar w:fldCharType="end"/>
            </w:r>
            <w:r>
              <w:t xml:space="preserve"> could be introduced to ERC REC 70-03</w:t>
            </w:r>
            <w:r w:rsidR="00532580">
              <w:t xml:space="preserve"> </w:t>
            </w:r>
            <w:r w:rsidR="00532580">
              <w:fldChar w:fldCharType="begin"/>
            </w:r>
            <w:r w:rsidR="00532580">
              <w:instrText xml:space="preserve"> REF _Ref321997834 \r \h </w:instrText>
            </w:r>
            <w:r w:rsidR="00532580">
              <w:fldChar w:fldCharType="separate"/>
            </w:r>
            <w:r w:rsidR="001A06A7">
              <w:t>[1]</w:t>
            </w:r>
            <w:r w:rsidR="00532580">
              <w:fldChar w:fldCharType="end"/>
            </w:r>
            <w:r>
              <w:t xml:space="preserve"> with the meaning that SRDs could use adjacent bands provided that the specific conditions of each of the adjacent frequency bands are met.</w:t>
            </w:r>
          </w:p>
        </w:tc>
      </w:tr>
    </w:tbl>
    <w:p w:rsidR="009E51D5" w:rsidRPr="00653751" w:rsidRDefault="009E51D5" w:rsidP="009E51D5">
      <w:pPr>
        <w:pStyle w:val="ECCParagraph"/>
        <w:spacing w:after="0"/>
      </w:pPr>
    </w:p>
    <w:p w:rsidR="009E51D5" w:rsidRDefault="009E51D5" w:rsidP="009E51D5">
      <w:pPr>
        <w:pStyle w:val="ECCParagraph"/>
        <w:spacing w:after="0"/>
        <w:rPr>
          <w:rFonts w:cs="Arial"/>
          <w:b/>
          <w:bCs/>
        </w:rPr>
      </w:pPr>
      <w:r w:rsidRPr="00ED7BE1">
        <w:rPr>
          <w:rFonts w:cs="Arial"/>
          <w:b/>
          <w:bCs/>
        </w:rPr>
        <w:t>Question 17:</w:t>
      </w:r>
    </w:p>
    <w:p w:rsidR="009E51D5" w:rsidRPr="00ED7BE1" w:rsidRDefault="009E51D5" w:rsidP="009E51D5">
      <w:pPr>
        <w:pStyle w:val="ECCParagraph"/>
        <w:spacing w:after="0"/>
        <w:rPr>
          <w:rFonts w:cs="Arial"/>
          <w:b/>
          <w:bCs/>
        </w:rPr>
      </w:pPr>
      <w:r w:rsidRPr="00ED7BE1">
        <w:rPr>
          <w:rFonts w:cs="Arial"/>
          <w:b/>
          <w:bCs/>
        </w:rPr>
        <w:t>Are there emerging market needs or requirements for your business applications that would fall in any portion of the 863-870 MHz band? If yes, may they be fitted in the present 863-870 MHz regulations?</w:t>
      </w:r>
    </w:p>
    <w:p w:rsidR="009E51D5" w:rsidRPr="00ED7BE1" w:rsidRDefault="009E51D5" w:rsidP="009E51D5">
      <w:pPr>
        <w:jc w:val="center"/>
        <w:rPr>
          <w:rFonts w:cs="Arial"/>
          <w:b/>
          <w:bCs/>
        </w:rPr>
      </w:pPr>
      <w:r>
        <w:rPr>
          <w:rFonts w:cs="Arial"/>
          <w:bCs/>
          <w:noProof/>
          <w:lang w:val="da-DK" w:eastAsia="da-DK"/>
        </w:rPr>
        <w:drawing>
          <wp:inline distT="0" distB="0" distL="0" distR="0" wp14:anchorId="01DB7CAA" wp14:editId="5C4A46CB">
            <wp:extent cx="4064000" cy="2235200"/>
            <wp:effectExtent l="0" t="0" r="0" b="0"/>
            <wp:docPr id="39" name="Chart 3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9E51D5" w:rsidRPr="00ED7BE1" w:rsidRDefault="009E51D5" w:rsidP="009E51D5">
      <w:pPr>
        <w:pStyle w:val="Caption"/>
      </w:pPr>
      <w:r>
        <w:t xml:space="preserve">Figure </w:t>
      </w:r>
      <w:r>
        <w:fldChar w:fldCharType="begin"/>
      </w:r>
      <w:r>
        <w:instrText xml:space="preserve"> SEQ Figure \* ARABIC </w:instrText>
      </w:r>
      <w:r>
        <w:fldChar w:fldCharType="separate"/>
      </w:r>
      <w:r w:rsidR="001A06A7">
        <w:rPr>
          <w:noProof/>
        </w:rPr>
        <w:t>21</w:t>
      </w:r>
      <w:r>
        <w:fldChar w:fldCharType="end"/>
      </w:r>
      <w:r w:rsidRPr="00ED7BE1">
        <w:t>: Do you see emerging market needs or requirements?</w:t>
      </w:r>
    </w:p>
    <w:p w:rsidR="009E51D5" w:rsidRPr="00E66A4D" w:rsidRDefault="009E51D5" w:rsidP="009E51D5">
      <w:pPr>
        <w:pStyle w:val="ECCParagraph"/>
        <w:spacing w:after="120"/>
      </w:pPr>
      <w:r w:rsidRPr="00E66A4D">
        <w:t>Those who answered the question with YES (31 answers) indicated emerging needs as follows:</w:t>
      </w:r>
    </w:p>
    <w:p w:rsidR="009E51D5" w:rsidRPr="00ED7BE1" w:rsidRDefault="009E51D5" w:rsidP="008F612F">
      <w:pPr>
        <w:pStyle w:val="ECCParBulleted"/>
        <w:numPr>
          <w:ilvl w:val="0"/>
          <w:numId w:val="37"/>
        </w:numPr>
        <w:spacing w:after="120"/>
      </w:pPr>
      <w:r w:rsidRPr="00ED7BE1">
        <w:t>Imaging transfer for alarm systems;</w:t>
      </w:r>
    </w:p>
    <w:p w:rsidR="009E51D5" w:rsidRPr="00ED7BE1" w:rsidRDefault="009E51D5" w:rsidP="008F612F">
      <w:pPr>
        <w:pStyle w:val="ECCParBulleted"/>
        <w:numPr>
          <w:ilvl w:val="0"/>
          <w:numId w:val="37"/>
        </w:numPr>
        <w:spacing w:after="120"/>
      </w:pPr>
      <w:r w:rsidRPr="00ED7BE1">
        <w:t>More power needed for their applications;</w:t>
      </w:r>
    </w:p>
    <w:p w:rsidR="009E51D5" w:rsidRPr="00ED7BE1" w:rsidRDefault="009E51D5" w:rsidP="008F612F">
      <w:pPr>
        <w:pStyle w:val="ECCParBulleted"/>
        <w:numPr>
          <w:ilvl w:val="0"/>
          <w:numId w:val="37"/>
        </w:numPr>
        <w:spacing w:after="120"/>
      </w:pPr>
      <w:r w:rsidRPr="00ED7BE1">
        <w:t>Wireless sensor technology and networks;</w:t>
      </w:r>
    </w:p>
    <w:p w:rsidR="009E51D5" w:rsidRPr="00ED7BE1" w:rsidRDefault="009E51D5" w:rsidP="008F612F">
      <w:pPr>
        <w:pStyle w:val="ECCParBulleted"/>
        <w:numPr>
          <w:ilvl w:val="0"/>
          <w:numId w:val="37"/>
        </w:numPr>
        <w:spacing w:after="120"/>
      </w:pPr>
      <w:r w:rsidRPr="00ED7BE1">
        <w:t>Existing spectrum would reach saturation. This would lead to congestions and more interference;</w:t>
      </w:r>
    </w:p>
    <w:p w:rsidR="009E51D5" w:rsidRPr="00ED7BE1" w:rsidRDefault="009E51D5" w:rsidP="008F612F">
      <w:pPr>
        <w:pStyle w:val="ECCParBulleted"/>
        <w:numPr>
          <w:ilvl w:val="0"/>
          <w:numId w:val="37"/>
        </w:numPr>
        <w:spacing w:after="120"/>
      </w:pPr>
      <w:r w:rsidRPr="00ED7BE1">
        <w:t xml:space="preserve">Especially, the smart metering, meshed systems and home automation applications were considered in a </w:t>
      </w:r>
      <w:r>
        <w:t xml:space="preserve">large </w:t>
      </w:r>
      <w:r w:rsidRPr="00ED7BE1">
        <w:t>number of repl</w:t>
      </w:r>
      <w:r>
        <w:t>ies</w:t>
      </w:r>
      <w:r w:rsidRPr="00ED7BE1">
        <w:t xml:space="preserve"> as needing more spectrum in the future;</w:t>
      </w:r>
    </w:p>
    <w:p w:rsidR="009E51D5" w:rsidRPr="00ED7BE1" w:rsidRDefault="009E51D5" w:rsidP="008F612F">
      <w:pPr>
        <w:pStyle w:val="ECCParBulleted"/>
        <w:numPr>
          <w:ilvl w:val="0"/>
          <w:numId w:val="37"/>
        </w:numPr>
        <w:spacing w:after="120"/>
      </w:pPr>
      <w:r w:rsidRPr="00ED7BE1">
        <w:t>A dedicated frequency spot needed for DC/LDC applications (e.g. alarms, metering); LBT+AFA on one side and LDC on the other side being considered as incompatible since LBT would not detect the LDC application.</w:t>
      </w:r>
    </w:p>
    <w:p w:rsidR="009E51D5" w:rsidRPr="00ED7BE1" w:rsidRDefault="009E51D5" w:rsidP="008F612F">
      <w:pPr>
        <w:pStyle w:val="ECCParBulleted"/>
        <w:numPr>
          <w:ilvl w:val="0"/>
          <w:numId w:val="37"/>
        </w:numPr>
        <w:spacing w:after="120"/>
      </w:pPr>
      <w:r w:rsidRPr="00ED7BE1">
        <w:t xml:space="preserve">M/441 mentioned;   </w:t>
      </w:r>
    </w:p>
    <w:p w:rsidR="009E51D5" w:rsidRPr="00ED7BE1" w:rsidRDefault="009E51D5" w:rsidP="008F612F">
      <w:pPr>
        <w:pStyle w:val="ECCParBulleted"/>
        <w:numPr>
          <w:ilvl w:val="0"/>
          <w:numId w:val="37"/>
        </w:numPr>
        <w:spacing w:after="120"/>
      </w:pPr>
      <w:r w:rsidRPr="00ED7BE1">
        <w:t>Too little for future demand;</w:t>
      </w:r>
    </w:p>
    <w:p w:rsidR="009E51D5" w:rsidRPr="009E51D5" w:rsidRDefault="009E51D5" w:rsidP="008F612F">
      <w:pPr>
        <w:pStyle w:val="ECCParBulleted"/>
        <w:numPr>
          <w:ilvl w:val="0"/>
          <w:numId w:val="37"/>
        </w:numPr>
        <w:spacing w:after="120"/>
        <w:rPr>
          <w:szCs w:val="20"/>
        </w:rPr>
      </w:pPr>
      <w:r w:rsidRPr="009E51D5">
        <w:rPr>
          <w:szCs w:val="20"/>
        </w:rPr>
        <w:t>Integration of different applications in one system should be possible;</w:t>
      </w:r>
    </w:p>
    <w:p w:rsidR="009E51D5" w:rsidRPr="009E51D5" w:rsidRDefault="009E51D5" w:rsidP="008F612F">
      <w:pPr>
        <w:pStyle w:val="ECCParBulleted"/>
        <w:numPr>
          <w:ilvl w:val="0"/>
          <w:numId w:val="37"/>
        </w:numPr>
        <w:spacing w:after="120"/>
        <w:rPr>
          <w:szCs w:val="20"/>
        </w:rPr>
      </w:pPr>
      <w:r w:rsidRPr="009E51D5">
        <w:rPr>
          <w:rStyle w:val="hps"/>
          <w:rFonts w:cs="Arial"/>
          <w:szCs w:val="20"/>
          <w:lang w:val="en"/>
        </w:rPr>
        <w:t>The</w:t>
      </w:r>
      <w:r w:rsidRPr="009E51D5">
        <w:rPr>
          <w:szCs w:val="20"/>
          <w:lang w:val="en"/>
        </w:rPr>
        <w:t xml:space="preserve"> </w:t>
      </w:r>
      <w:r w:rsidRPr="009E51D5">
        <w:rPr>
          <w:rStyle w:val="hps"/>
          <w:rFonts w:cs="Arial"/>
          <w:szCs w:val="20"/>
          <w:lang w:val="en"/>
        </w:rPr>
        <w:t>standard requirements</w:t>
      </w:r>
      <w:r w:rsidRPr="009E51D5">
        <w:rPr>
          <w:szCs w:val="20"/>
          <w:lang w:val="en"/>
        </w:rPr>
        <w:t xml:space="preserve"> </w:t>
      </w:r>
      <w:r w:rsidRPr="009E51D5">
        <w:rPr>
          <w:rStyle w:val="hps"/>
          <w:rFonts w:cs="Arial"/>
          <w:szCs w:val="20"/>
          <w:lang w:val="en"/>
        </w:rPr>
        <w:t>under</w:t>
      </w:r>
      <w:r w:rsidRPr="009E51D5">
        <w:rPr>
          <w:szCs w:val="20"/>
          <w:lang w:val="en"/>
        </w:rPr>
        <w:t xml:space="preserve"> </w:t>
      </w:r>
      <w:r w:rsidRPr="009E51D5">
        <w:rPr>
          <w:rStyle w:val="hps"/>
          <w:rFonts w:cs="Arial"/>
          <w:szCs w:val="20"/>
          <w:lang w:val="en"/>
        </w:rPr>
        <w:t>the</w:t>
      </w:r>
      <w:r w:rsidRPr="009E51D5">
        <w:rPr>
          <w:szCs w:val="20"/>
          <w:lang w:val="en"/>
        </w:rPr>
        <w:t xml:space="preserve"> </w:t>
      </w:r>
      <w:r w:rsidRPr="009E51D5">
        <w:rPr>
          <w:rStyle w:val="hps"/>
          <w:rFonts w:cs="Arial"/>
          <w:szCs w:val="20"/>
          <w:lang w:val="en"/>
        </w:rPr>
        <w:t>Machinery Directive</w:t>
      </w:r>
      <w:r w:rsidRPr="009E51D5">
        <w:rPr>
          <w:szCs w:val="20"/>
          <w:lang w:val="en"/>
        </w:rPr>
        <w:t xml:space="preserve"> (2006/42/EC) </w:t>
      </w:r>
      <w:r w:rsidRPr="009E51D5">
        <w:rPr>
          <w:rStyle w:val="hps"/>
          <w:rFonts w:cs="Arial"/>
          <w:szCs w:val="20"/>
          <w:lang w:val="en"/>
        </w:rPr>
        <w:t>lead</w:t>
      </w:r>
      <w:r w:rsidRPr="009E51D5">
        <w:rPr>
          <w:szCs w:val="20"/>
          <w:lang w:val="en"/>
        </w:rPr>
        <w:t xml:space="preserve"> </w:t>
      </w:r>
      <w:r w:rsidRPr="009E51D5">
        <w:rPr>
          <w:rStyle w:val="hps"/>
          <w:rFonts w:cs="Arial"/>
          <w:szCs w:val="20"/>
          <w:lang w:val="en"/>
        </w:rPr>
        <w:t>to</w:t>
      </w:r>
      <w:r w:rsidRPr="009E51D5">
        <w:rPr>
          <w:szCs w:val="20"/>
          <w:lang w:val="en"/>
        </w:rPr>
        <w:t xml:space="preserve"> </w:t>
      </w:r>
      <w:r w:rsidRPr="009E51D5">
        <w:rPr>
          <w:rStyle w:val="hps"/>
          <w:rFonts w:cs="Arial"/>
          <w:szCs w:val="20"/>
          <w:lang w:val="en"/>
        </w:rPr>
        <w:t>continued transmission</w:t>
      </w:r>
      <w:r w:rsidRPr="009E51D5">
        <w:rPr>
          <w:szCs w:val="20"/>
          <w:lang w:val="en"/>
        </w:rPr>
        <w:t xml:space="preserve"> </w:t>
      </w:r>
      <w:r w:rsidRPr="009E51D5">
        <w:rPr>
          <w:rStyle w:val="hps"/>
          <w:rFonts w:cs="Arial"/>
          <w:szCs w:val="20"/>
          <w:lang w:val="en"/>
        </w:rPr>
        <w:t>for</w:t>
      </w:r>
      <w:r w:rsidRPr="009E51D5">
        <w:rPr>
          <w:szCs w:val="20"/>
          <w:lang w:val="en"/>
        </w:rPr>
        <w:t xml:space="preserve"> </w:t>
      </w:r>
      <w:r w:rsidRPr="009E51D5">
        <w:rPr>
          <w:rStyle w:val="hps"/>
          <w:rFonts w:cs="Arial"/>
          <w:szCs w:val="20"/>
          <w:lang w:val="en"/>
        </w:rPr>
        <w:t>safety applications</w:t>
      </w:r>
      <w:r w:rsidRPr="009E51D5">
        <w:rPr>
          <w:szCs w:val="20"/>
          <w:lang w:val="en"/>
        </w:rPr>
        <w:t xml:space="preserve"> </w:t>
      </w:r>
      <w:r w:rsidRPr="009E51D5">
        <w:rPr>
          <w:rStyle w:val="hps"/>
          <w:rFonts w:cs="Arial"/>
          <w:szCs w:val="20"/>
          <w:lang w:val="en"/>
        </w:rPr>
        <w:t>requiring</w:t>
      </w:r>
      <w:r w:rsidRPr="009E51D5">
        <w:rPr>
          <w:szCs w:val="20"/>
          <w:lang w:val="en"/>
        </w:rPr>
        <w:t xml:space="preserve"> </w:t>
      </w:r>
      <w:r w:rsidRPr="009E51D5">
        <w:rPr>
          <w:rStyle w:val="hps"/>
          <w:rFonts w:cs="Arial"/>
          <w:szCs w:val="20"/>
          <w:lang w:val="en"/>
        </w:rPr>
        <w:t>performance levels</w:t>
      </w:r>
      <w:r w:rsidRPr="009E51D5">
        <w:rPr>
          <w:szCs w:val="20"/>
          <w:lang w:val="en"/>
        </w:rPr>
        <w:t xml:space="preserve"> </w:t>
      </w:r>
      <w:r w:rsidRPr="009E51D5">
        <w:rPr>
          <w:rStyle w:val="hps"/>
          <w:rFonts w:cs="Arial"/>
          <w:szCs w:val="20"/>
          <w:lang w:val="en"/>
        </w:rPr>
        <w:t>c</w:t>
      </w:r>
      <w:r w:rsidRPr="009E51D5">
        <w:rPr>
          <w:szCs w:val="20"/>
          <w:lang w:val="en"/>
        </w:rPr>
        <w:t xml:space="preserve"> </w:t>
      </w:r>
      <w:r w:rsidRPr="009E51D5">
        <w:rPr>
          <w:rStyle w:val="hps"/>
          <w:rFonts w:cs="Arial"/>
          <w:szCs w:val="20"/>
          <w:lang w:val="en"/>
        </w:rPr>
        <w:t>to e. (only 12 frequencies in 869.7-870 MHz suitable know.</w:t>
      </w:r>
    </w:p>
    <w:p w:rsidR="009E51D5" w:rsidRPr="009E51D5" w:rsidRDefault="009E51D5" w:rsidP="008F612F">
      <w:pPr>
        <w:pStyle w:val="ECCParBulleted"/>
        <w:numPr>
          <w:ilvl w:val="0"/>
          <w:numId w:val="37"/>
        </w:numPr>
        <w:spacing w:after="120"/>
        <w:rPr>
          <w:szCs w:val="20"/>
        </w:rPr>
      </w:pPr>
      <w:r w:rsidRPr="009E51D5">
        <w:rPr>
          <w:szCs w:val="20"/>
        </w:rPr>
        <w:t>LBT systems which use extremely the transmission time are seen as critical for devices using DC. So the last change in the regulation is seen as a good step for the coexistence issue. A better protection of DC/LDC devices is considered necessary.</w:t>
      </w:r>
    </w:p>
    <w:p w:rsidR="009E51D5" w:rsidRPr="009E51D5" w:rsidRDefault="009E51D5" w:rsidP="008F612F">
      <w:pPr>
        <w:pStyle w:val="ECCParBulleted"/>
        <w:numPr>
          <w:ilvl w:val="0"/>
          <w:numId w:val="37"/>
        </w:numPr>
        <w:spacing w:after="120"/>
        <w:rPr>
          <w:szCs w:val="20"/>
        </w:rPr>
      </w:pPr>
      <w:r w:rsidRPr="009E51D5">
        <w:rPr>
          <w:szCs w:val="20"/>
        </w:rPr>
        <w:lastRenderedPageBreak/>
        <w:t>Furthermore the current frequency band between 863</w:t>
      </w:r>
      <w:r w:rsidR="00DD1D4B">
        <w:rPr>
          <w:szCs w:val="20"/>
        </w:rPr>
        <w:t>-</w:t>
      </w:r>
      <w:r w:rsidRPr="009E51D5">
        <w:rPr>
          <w:szCs w:val="20"/>
        </w:rPr>
        <w:t>870MHz is extremely used and a new spectrum would be helpful</w:t>
      </w:r>
      <w:r w:rsidR="00DD1D4B">
        <w:rPr>
          <w:szCs w:val="20"/>
        </w:rPr>
        <w:t xml:space="preserve"> for the market needs.(e.g. 870</w:t>
      </w:r>
      <w:r w:rsidRPr="009E51D5">
        <w:rPr>
          <w:szCs w:val="20"/>
        </w:rPr>
        <w:t>-876 MHz);</w:t>
      </w:r>
    </w:p>
    <w:p w:rsidR="009E51D5" w:rsidRPr="00ED7BE1" w:rsidRDefault="009E51D5" w:rsidP="008F612F">
      <w:pPr>
        <w:pStyle w:val="ECCParBulleted"/>
        <w:numPr>
          <w:ilvl w:val="0"/>
          <w:numId w:val="37"/>
        </w:numPr>
        <w:spacing w:after="120"/>
      </w:pPr>
      <w:r w:rsidRPr="00ED7BE1">
        <w:t>Only</w:t>
      </w:r>
      <w:r w:rsidR="00DD1D4B">
        <w:t xml:space="preserve"> </w:t>
      </w:r>
      <w:r w:rsidRPr="00ED7BE1">
        <w:t>250</w:t>
      </w:r>
      <w:r>
        <w:t xml:space="preserve"> </w:t>
      </w:r>
      <w:r w:rsidRPr="00ED7BE1">
        <w:t>k</w:t>
      </w:r>
      <w:r>
        <w:t>H</w:t>
      </w:r>
      <w:r w:rsidRPr="00ED7BE1">
        <w:t>z bandwidth for 500mW applications to compare to 26</w:t>
      </w:r>
      <w:r>
        <w:t xml:space="preserve"> </w:t>
      </w:r>
      <w:r w:rsidRPr="00ED7BE1">
        <w:t>MHz for 1W in USA/Canada, 13</w:t>
      </w:r>
      <w:r>
        <w:t xml:space="preserve"> </w:t>
      </w:r>
      <w:r w:rsidRPr="00ED7BE1">
        <w:t>MHz in Australia, 6</w:t>
      </w:r>
      <w:r w:rsidR="00DD1D4B">
        <w:t>.</w:t>
      </w:r>
      <w:r w:rsidRPr="00ED7BE1">
        <w:t>5</w:t>
      </w:r>
      <w:r>
        <w:t xml:space="preserve"> </w:t>
      </w:r>
      <w:r w:rsidRPr="00ED7BE1">
        <w:t>MHz in New Zealand;</w:t>
      </w:r>
    </w:p>
    <w:p w:rsidR="009E51D5" w:rsidRPr="00ED7BE1" w:rsidRDefault="009E51D5" w:rsidP="008F612F">
      <w:pPr>
        <w:pStyle w:val="ECCParBulleted"/>
        <w:numPr>
          <w:ilvl w:val="0"/>
          <w:numId w:val="37"/>
        </w:numPr>
        <w:spacing w:after="120"/>
      </w:pPr>
      <w:r w:rsidRPr="00ED7BE1">
        <w:t xml:space="preserve">Devices with extremely long transmission time (LBT) are seen as very critical for coexistence issues. The latest changes in the standard </w:t>
      </w:r>
      <w:r w:rsidR="00532580">
        <w:t xml:space="preserve">ETSI </w:t>
      </w:r>
      <w:r w:rsidRPr="00ED7BE1">
        <w:t>EN 300</w:t>
      </w:r>
      <w:r w:rsidR="00532580">
        <w:t> </w:t>
      </w:r>
      <w:r w:rsidRPr="00ED7BE1">
        <w:t>220</w:t>
      </w:r>
      <w:r w:rsidR="00532580">
        <w:t xml:space="preserve"> </w:t>
      </w:r>
      <w:r w:rsidR="00532580">
        <w:fldChar w:fldCharType="begin"/>
      </w:r>
      <w:r w:rsidR="00532580">
        <w:instrText xml:space="preserve"> REF _Ref321997867 \r \h </w:instrText>
      </w:r>
      <w:r w:rsidR="00532580">
        <w:fldChar w:fldCharType="separate"/>
      </w:r>
      <w:r w:rsidR="001A06A7">
        <w:t>[2]</w:t>
      </w:r>
      <w:r w:rsidR="00532580">
        <w:fldChar w:fldCharType="end"/>
      </w:r>
      <w:r w:rsidRPr="00ED7BE1">
        <w:t xml:space="preserve"> are seen as the right step for coexistence.</w:t>
      </w:r>
    </w:p>
    <w:p w:rsidR="009E51D5" w:rsidRPr="00ED7BE1" w:rsidRDefault="009E51D5" w:rsidP="008F612F">
      <w:pPr>
        <w:pStyle w:val="ECCParBulleted"/>
        <w:numPr>
          <w:ilvl w:val="0"/>
          <w:numId w:val="37"/>
        </w:numPr>
        <w:spacing w:after="120"/>
      </w:pPr>
      <w:r w:rsidRPr="00ED7BE1">
        <w:t xml:space="preserve">Consider that a large number (&gt;10Mio) of smart meters following </w:t>
      </w:r>
      <w:r w:rsidR="00077796" w:rsidRPr="00077796">
        <w:t xml:space="preserve">Cenelec </w:t>
      </w:r>
      <w:r w:rsidRPr="00077796">
        <w:t>EN13757-4 on</w:t>
      </w:r>
      <w:r w:rsidRPr="00ED7BE1">
        <w:t xml:space="preserve"> the 868 MHz band are expected to be deployed in the next few years all over Europe. Hence, a new spectrum for SRD devices is seen to be necessary for the developments in the field of smart meters;</w:t>
      </w:r>
    </w:p>
    <w:p w:rsidR="009E51D5" w:rsidRPr="00ED7BE1" w:rsidRDefault="009E51D5" w:rsidP="008F612F">
      <w:pPr>
        <w:pStyle w:val="ECCParBulleted"/>
        <w:numPr>
          <w:ilvl w:val="0"/>
          <w:numId w:val="37"/>
        </w:numPr>
        <w:spacing w:after="120"/>
      </w:pPr>
      <w:r w:rsidRPr="00ED7BE1">
        <w:t>RFID applications are growing</w:t>
      </w:r>
      <w:r>
        <w:t xml:space="preserve"> fast</w:t>
      </w:r>
      <w:r w:rsidRPr="00ED7BE1">
        <w:t xml:space="preserve">, additional spectrum will be required </w:t>
      </w:r>
    </w:p>
    <w:p w:rsidR="009E51D5" w:rsidRPr="00ED7BE1" w:rsidRDefault="009E51D5" w:rsidP="008F612F">
      <w:pPr>
        <w:pStyle w:val="ECCParBulleted"/>
        <w:numPr>
          <w:ilvl w:val="0"/>
          <w:numId w:val="37"/>
        </w:numPr>
        <w:spacing w:after="120"/>
        <w:rPr>
          <w:bCs/>
          <w:lang w:val="en-US"/>
        </w:rPr>
      </w:pPr>
      <w:r w:rsidRPr="00ED7BE1">
        <w:rPr>
          <w:bCs/>
          <w:lang w:val="en-US"/>
        </w:rPr>
        <w:t xml:space="preserve">Need for a special utility band since </w:t>
      </w:r>
      <w:r>
        <w:rPr>
          <w:bCs/>
          <w:lang w:val="en-US"/>
        </w:rPr>
        <w:t xml:space="preserve">the </w:t>
      </w:r>
      <w:r w:rsidRPr="00ED7BE1">
        <w:rPr>
          <w:bCs/>
          <w:lang w:val="en-US"/>
        </w:rPr>
        <w:t>e</w:t>
      </w:r>
      <w:r w:rsidR="00DD1D4B" w:rsidRPr="00ED7BE1">
        <w:t>energy</w:t>
      </w:r>
      <w:r w:rsidRPr="00ED7BE1">
        <w:t xml:space="preserve"> data management based on metering and sub</w:t>
      </w:r>
      <w:r>
        <w:t>-</w:t>
      </w:r>
      <w:r w:rsidRPr="00ED7BE1">
        <w:t>metering devices (e.g. using the consumption data from individual radiators to control the heating system according to the actual demand or to improve the efficiency of boilers) thus actively contributing to the reduction of CO</w:t>
      </w:r>
      <w:r w:rsidRPr="00ED7BE1">
        <w:rPr>
          <w:rFonts w:eastAsia="MS Mincho" w:hAnsi="MS Mincho"/>
        </w:rPr>
        <w:t>₂</w:t>
      </w:r>
      <w:r w:rsidRPr="00ED7BE1">
        <w:t> emissions</w:t>
      </w:r>
      <w:r w:rsidRPr="00ED7BE1">
        <w:rPr>
          <w:bCs/>
          <w:lang w:val="en-US"/>
        </w:rPr>
        <w:t>.</w:t>
      </w:r>
    </w:p>
    <w:p w:rsidR="009E51D5" w:rsidRDefault="009E51D5" w:rsidP="009E51D5">
      <w:pPr>
        <w:pStyle w:val="ECCParagraph"/>
      </w:pPr>
      <w:r w:rsidRPr="00ED7BE1">
        <w:t>The answers were indecisive regarding whether the suggestions should be treated as generic (non-specific) or as a specific type, i.e. about half of the answers said YES, the other half NO.</w:t>
      </w:r>
    </w:p>
    <w:tbl>
      <w:tblPr>
        <w:tblW w:w="0" w:type="auto"/>
        <w:tblBorders>
          <w:top w:val="single" w:sz="4" w:space="0" w:color="D2232A"/>
          <w:left w:val="single" w:sz="4" w:space="0" w:color="D2232A"/>
          <w:bottom w:val="single" w:sz="4" w:space="0" w:color="D2232A"/>
          <w:right w:val="single" w:sz="4" w:space="0" w:color="D2232A"/>
          <w:insideH w:val="single" w:sz="4" w:space="0" w:color="D2232A"/>
          <w:insideV w:val="single" w:sz="4" w:space="0" w:color="D2232A"/>
        </w:tblBorders>
        <w:tblCellMar>
          <w:top w:w="11" w:type="dxa"/>
          <w:bottom w:w="11" w:type="dxa"/>
        </w:tblCellMar>
        <w:tblLook w:val="01E0" w:firstRow="1" w:lastRow="1" w:firstColumn="1" w:lastColumn="1" w:noHBand="0" w:noVBand="0"/>
      </w:tblPr>
      <w:tblGrid>
        <w:gridCol w:w="9855"/>
      </w:tblGrid>
      <w:tr w:rsidR="009E51D5" w:rsidRPr="00116031" w:rsidTr="009E51D5">
        <w:trPr>
          <w:tblHeader/>
        </w:trPr>
        <w:tc>
          <w:tcPr>
            <w:tcW w:w="9855" w:type="dxa"/>
            <w:shd w:val="clear" w:color="auto" w:fill="D2232A"/>
            <w:vAlign w:val="center"/>
          </w:tcPr>
          <w:p w:rsidR="009E51D5" w:rsidRPr="00116031" w:rsidRDefault="009E51D5" w:rsidP="004940CA">
            <w:pPr>
              <w:pStyle w:val="ECCParagraph"/>
              <w:jc w:val="center"/>
              <w:rPr>
                <w:b/>
                <w:color w:val="FFFFFF" w:themeColor="background1"/>
              </w:rPr>
            </w:pPr>
            <w:r w:rsidRPr="00116031">
              <w:rPr>
                <w:b/>
                <w:color w:val="FFFFFF" w:themeColor="background1"/>
              </w:rPr>
              <w:t>Assessment</w:t>
            </w:r>
          </w:p>
        </w:tc>
      </w:tr>
      <w:tr w:rsidR="009E51D5" w:rsidRPr="00D52AE5" w:rsidTr="009E51D5">
        <w:tc>
          <w:tcPr>
            <w:tcW w:w="9855" w:type="dxa"/>
            <w:vAlign w:val="center"/>
          </w:tcPr>
          <w:p w:rsidR="009E51D5" w:rsidRPr="00653751" w:rsidRDefault="004940CA" w:rsidP="009E51D5">
            <w:pPr>
              <w:pStyle w:val="ECCParagraph"/>
            </w:pPr>
            <w:r>
              <w:t xml:space="preserve">It was </w:t>
            </w:r>
            <w:r w:rsidR="009E51D5" w:rsidRPr="00653751">
              <w:t>noted a large number of responses being related to smart metering and should consider liberation and perhaps expansion of spectrum usage possibilities for the metering segment.</w:t>
            </w:r>
          </w:p>
        </w:tc>
      </w:tr>
    </w:tbl>
    <w:p w:rsidR="009E51D5" w:rsidRDefault="009E51D5" w:rsidP="009E51D5">
      <w:pPr>
        <w:rPr>
          <w:rFonts w:cs="Arial"/>
          <w:bCs/>
          <w:sz w:val="22"/>
          <w:szCs w:val="22"/>
        </w:rPr>
      </w:pPr>
    </w:p>
    <w:p w:rsidR="009E51D5" w:rsidRDefault="009E51D5" w:rsidP="009E51D5">
      <w:pPr>
        <w:rPr>
          <w:rFonts w:cs="Arial"/>
          <w:b/>
          <w:bCs/>
        </w:rPr>
      </w:pPr>
      <w:r w:rsidRPr="00ED7BE1">
        <w:rPr>
          <w:rFonts w:cs="Arial"/>
          <w:b/>
          <w:bCs/>
        </w:rPr>
        <w:t xml:space="preserve">Question 18: </w:t>
      </w:r>
    </w:p>
    <w:p w:rsidR="009E51D5" w:rsidRPr="00ED7BE1" w:rsidRDefault="009E51D5" w:rsidP="009E51D5">
      <w:pPr>
        <w:rPr>
          <w:rFonts w:cs="Arial"/>
          <w:b/>
          <w:bCs/>
        </w:rPr>
      </w:pPr>
      <w:r w:rsidRPr="00ED7BE1">
        <w:rPr>
          <w:rFonts w:cs="Arial"/>
          <w:b/>
          <w:bCs/>
        </w:rPr>
        <w:t>Do you agree with the principle of “application and technology neutrality”?</w:t>
      </w:r>
    </w:p>
    <w:p w:rsidR="009E51D5" w:rsidRPr="00DD1D4B" w:rsidRDefault="009E51D5" w:rsidP="009E51D5">
      <w:pPr>
        <w:rPr>
          <w:rFonts w:cs="Arial"/>
          <w:b/>
          <w:bCs/>
          <w:szCs w:val="20"/>
        </w:rPr>
      </w:pPr>
    </w:p>
    <w:p w:rsidR="009E51D5" w:rsidRPr="00DD1D4B" w:rsidRDefault="009E51D5" w:rsidP="009E51D5">
      <w:pPr>
        <w:rPr>
          <w:rFonts w:cs="Arial"/>
          <w:bCs/>
          <w:szCs w:val="20"/>
        </w:rPr>
      </w:pPr>
      <w:r w:rsidRPr="00DD1D4B">
        <w:rPr>
          <w:rFonts w:cs="Arial"/>
          <w:bCs/>
          <w:szCs w:val="20"/>
        </w:rPr>
        <w:t>The majority with 38 answers indicated that segmentation should be retained.</w:t>
      </w:r>
    </w:p>
    <w:p w:rsidR="009E51D5" w:rsidRPr="00DD1D4B" w:rsidRDefault="009E51D5" w:rsidP="009E51D5">
      <w:pPr>
        <w:rPr>
          <w:rFonts w:cs="Arial"/>
          <w:b/>
          <w:bCs/>
          <w:szCs w:val="20"/>
        </w:rPr>
      </w:pPr>
    </w:p>
    <w:p w:rsidR="009E51D5" w:rsidRPr="00ED7BE1" w:rsidRDefault="009E51D5" w:rsidP="009E51D5">
      <w:pPr>
        <w:jc w:val="center"/>
        <w:rPr>
          <w:rFonts w:cs="Arial"/>
          <w:b/>
          <w:bCs/>
        </w:rPr>
      </w:pPr>
      <w:r>
        <w:rPr>
          <w:rFonts w:cs="Arial"/>
          <w:bCs/>
          <w:noProof/>
          <w:lang w:val="da-DK" w:eastAsia="da-DK"/>
        </w:rPr>
        <w:drawing>
          <wp:inline distT="0" distB="0" distL="0" distR="0" wp14:anchorId="288ACD11" wp14:editId="6FE9BE32">
            <wp:extent cx="4051300" cy="2235200"/>
            <wp:effectExtent l="0" t="0" r="0" b="0"/>
            <wp:docPr id="38" name="Chart 3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9E51D5" w:rsidRPr="00ED7BE1" w:rsidRDefault="009E51D5" w:rsidP="009E51D5">
      <w:pPr>
        <w:rPr>
          <w:rFonts w:cs="Arial"/>
          <w:b/>
          <w:bCs/>
        </w:rPr>
      </w:pPr>
    </w:p>
    <w:p w:rsidR="009E51D5" w:rsidRPr="00ED7BE1" w:rsidRDefault="009E51D5" w:rsidP="009E51D5">
      <w:pPr>
        <w:pStyle w:val="Caption"/>
      </w:pPr>
      <w:r>
        <w:t xml:space="preserve">Figure </w:t>
      </w:r>
      <w:r>
        <w:fldChar w:fldCharType="begin"/>
      </w:r>
      <w:r>
        <w:instrText xml:space="preserve"> SEQ Figure \* ARABIC </w:instrText>
      </w:r>
      <w:r>
        <w:fldChar w:fldCharType="separate"/>
      </w:r>
      <w:r w:rsidR="001A06A7">
        <w:rPr>
          <w:noProof/>
        </w:rPr>
        <w:t>22</w:t>
      </w:r>
      <w:r>
        <w:fldChar w:fldCharType="end"/>
      </w:r>
      <w:r w:rsidRPr="00ED7BE1">
        <w:t>: Technology neutrality or segmentation preferred?</w:t>
      </w:r>
    </w:p>
    <w:p w:rsidR="009E51D5" w:rsidRPr="00213C2B" w:rsidRDefault="009E51D5" w:rsidP="009E51D5">
      <w:pPr>
        <w:pStyle w:val="ECCParagraph"/>
      </w:pPr>
      <w:r w:rsidRPr="00213C2B">
        <w:t xml:space="preserve">Alarm system manufacturers in general considered it as difficult to accept an alarm application category to be withdrawn. Some of these manufacturers supported the principle of application and technology neutrality and answered YES, only on the basis of the alarm category being excluded from it. In general, the answers showed that many responders feel that the protection of persons and goods should be given a higher priority than entertainment. </w:t>
      </w:r>
    </w:p>
    <w:p w:rsidR="009E51D5" w:rsidRPr="00213C2B" w:rsidRDefault="009E51D5" w:rsidP="009E51D5">
      <w:pPr>
        <w:pStyle w:val="ECCParagraph"/>
      </w:pPr>
      <w:r w:rsidRPr="00213C2B">
        <w:t xml:space="preserve">On the other side, some clearly stated that commercial and public interest should also be taken into account. A considerable number of responders also see a co-existence issue between more transmission-active applications and those using a rather low duty cycle in the long-term and therefore, based on the nature of </w:t>
      </w:r>
      <w:r w:rsidRPr="00213C2B">
        <w:lastRenderedPageBreak/>
        <w:t>application and the usage, some segmentation for certain applications should be maintained. As for applications such as audio that require 100 % DC transmission, LBT or AFA were not feasible. Other opinions expressed:</w:t>
      </w:r>
    </w:p>
    <w:p w:rsidR="009E51D5" w:rsidRPr="00ED7BE1" w:rsidRDefault="009E51D5" w:rsidP="008F612F">
      <w:pPr>
        <w:pStyle w:val="ECCParBulleted"/>
        <w:numPr>
          <w:ilvl w:val="0"/>
          <w:numId w:val="38"/>
        </w:numPr>
        <w:spacing w:after="120"/>
      </w:pPr>
      <w:r w:rsidRPr="00ED7BE1">
        <w:t>As far as smoke detectors are going to be made mandatory by the E</w:t>
      </w:r>
      <w:r>
        <w:t>U</w:t>
      </w:r>
      <w:r w:rsidRPr="00ED7BE1">
        <w:t xml:space="preserve"> </w:t>
      </w:r>
      <w:r>
        <w:t>C</w:t>
      </w:r>
      <w:r w:rsidRPr="00ED7BE1">
        <w:t xml:space="preserve">ommission in every private house throughout Europe, some sub-bands should be kept reserved for this specific alarm devices; </w:t>
      </w:r>
    </w:p>
    <w:p w:rsidR="009E51D5" w:rsidRPr="00ED7BE1" w:rsidRDefault="009E51D5" w:rsidP="008F612F">
      <w:pPr>
        <w:pStyle w:val="ECCParBulleted"/>
        <w:numPr>
          <w:ilvl w:val="0"/>
          <w:numId w:val="38"/>
        </w:numPr>
        <w:spacing w:after="120"/>
      </w:pPr>
      <w:r w:rsidRPr="00ED7BE1">
        <w:t xml:space="preserve">There are many existing products designed for the current regulation and segmentation of the bands; </w:t>
      </w:r>
    </w:p>
    <w:p w:rsidR="009E51D5" w:rsidRPr="00ED7BE1" w:rsidRDefault="009E51D5" w:rsidP="008F612F">
      <w:pPr>
        <w:pStyle w:val="ECCParBulleted"/>
        <w:numPr>
          <w:ilvl w:val="0"/>
          <w:numId w:val="38"/>
        </w:numPr>
        <w:spacing w:after="120"/>
      </w:pPr>
      <w:r w:rsidRPr="00ED7BE1">
        <w:t>Every change would mean a huge effort for the manufacturers;</w:t>
      </w:r>
    </w:p>
    <w:p w:rsidR="009E51D5" w:rsidRPr="00ED7BE1" w:rsidRDefault="009E51D5" w:rsidP="008F612F">
      <w:pPr>
        <w:pStyle w:val="ECCParBulleted"/>
        <w:numPr>
          <w:ilvl w:val="0"/>
          <w:numId w:val="38"/>
        </w:numPr>
        <w:spacing w:after="120"/>
      </w:pPr>
      <w:r w:rsidRPr="00ED7BE1">
        <w:t xml:space="preserve">LBT considers only the environment of the transmitter and thus does not guarantee that the RF field is free from the receiver side; </w:t>
      </w:r>
    </w:p>
    <w:p w:rsidR="009E51D5" w:rsidRPr="00ED7BE1" w:rsidRDefault="009E51D5" w:rsidP="008F612F">
      <w:pPr>
        <w:pStyle w:val="ECCParBulleted"/>
        <w:numPr>
          <w:ilvl w:val="0"/>
          <w:numId w:val="38"/>
        </w:numPr>
        <w:spacing w:after="120"/>
        <w:rPr>
          <w:bCs/>
        </w:rPr>
      </w:pPr>
      <w:r w:rsidRPr="00ED7BE1">
        <w:t>Follow the spectrum access rules regardless what application is behind as long as full spectrum usage/blocking is not possible;</w:t>
      </w:r>
    </w:p>
    <w:p w:rsidR="009E51D5" w:rsidRPr="00ED7BE1" w:rsidRDefault="009E51D5" w:rsidP="008F612F">
      <w:pPr>
        <w:pStyle w:val="ECCParBulleted"/>
        <w:numPr>
          <w:ilvl w:val="0"/>
          <w:numId w:val="38"/>
        </w:numPr>
        <w:spacing w:after="120"/>
      </w:pPr>
      <w:r w:rsidRPr="00ED7BE1">
        <w:t>For hospitals it is important to have some proof that the use of the 868 MHz band is safe the foreseen expansion in a 870-876MHz (sub-)band would be helpful;</w:t>
      </w:r>
    </w:p>
    <w:p w:rsidR="009E51D5" w:rsidRPr="00ED7BE1" w:rsidRDefault="009E51D5" w:rsidP="008F612F">
      <w:pPr>
        <w:pStyle w:val="ECCParBulleted"/>
        <w:numPr>
          <w:ilvl w:val="0"/>
          <w:numId w:val="38"/>
        </w:numPr>
        <w:spacing w:after="120"/>
      </w:pPr>
      <w:r w:rsidRPr="00ED7BE1">
        <w:t xml:space="preserve">Although technology neutrality principle should be sought there are operational border lines that do not allow this principle </w:t>
      </w:r>
      <w:r>
        <w:t xml:space="preserve">to be applied </w:t>
      </w:r>
      <w:r w:rsidRPr="00ED7BE1">
        <w:t>100%</w:t>
      </w:r>
      <w:r>
        <w:t>.</w:t>
      </w:r>
      <w:r w:rsidRPr="00ED7BE1">
        <w:t xml:space="preserve"> </w:t>
      </w:r>
    </w:p>
    <w:p w:rsidR="009E51D5" w:rsidRPr="00ED7BE1" w:rsidRDefault="009E51D5" w:rsidP="008F612F">
      <w:pPr>
        <w:pStyle w:val="ECCParBulleted"/>
        <w:numPr>
          <w:ilvl w:val="0"/>
          <w:numId w:val="38"/>
        </w:numPr>
        <w:spacing w:after="120"/>
      </w:pPr>
      <w:r w:rsidRPr="00ED7BE1">
        <w:t xml:space="preserve">SRDs are operating on </w:t>
      </w:r>
      <w:r>
        <w:t xml:space="preserve">a </w:t>
      </w:r>
      <w:r w:rsidRPr="00ED7BE1">
        <w:t>licence</w:t>
      </w:r>
      <w:r>
        <w:t>-</w:t>
      </w:r>
      <w:r w:rsidRPr="00ED7BE1">
        <w:t xml:space="preserve">free spectrum shared basis that appears difficult to balance with key market requirement for reliable operation. Some segmentation by application or by homogeneous technical requirements of different applications dramatically helps reliability. In this respect the CEPT ECC intra-sharing compatibility studies are of </w:t>
      </w:r>
      <w:r>
        <w:t xml:space="preserve">the </w:t>
      </w:r>
      <w:r w:rsidRPr="00ED7BE1">
        <w:t xml:space="preserve">utmost importance; </w:t>
      </w:r>
    </w:p>
    <w:p w:rsidR="009E51D5" w:rsidRPr="00ED7BE1" w:rsidRDefault="009E51D5" w:rsidP="008F612F">
      <w:pPr>
        <w:pStyle w:val="ECCParBulleted"/>
        <w:numPr>
          <w:ilvl w:val="0"/>
          <w:numId w:val="38"/>
        </w:numPr>
        <w:spacing w:after="120"/>
      </w:pPr>
      <w:r w:rsidRPr="00ED7BE1">
        <w:t xml:space="preserve">Because of the heterogeneity of parameter values for various applications (transmitter power, EIRP, duty cycle, frequency bandwidth, mitigation techniques, etc.) which share frequency bands, the principle of “application and technology neutrality” could prevent  </w:t>
      </w:r>
      <w:r>
        <w:t xml:space="preserve">an increase </w:t>
      </w:r>
      <w:r w:rsidRPr="00ED7BE1">
        <w:t>of spectrum efficiency use in whole, as well as prevent implementation of  regulatory estimation of efficiency parameters of  spectrum use;</w:t>
      </w:r>
    </w:p>
    <w:p w:rsidR="009E51D5" w:rsidRPr="00653751" w:rsidRDefault="009E51D5" w:rsidP="008F612F">
      <w:pPr>
        <w:pStyle w:val="ECCParBulleted"/>
        <w:numPr>
          <w:ilvl w:val="0"/>
          <w:numId w:val="38"/>
        </w:numPr>
        <w:spacing w:after="120"/>
        <w:rPr>
          <w:b/>
          <w:bCs/>
        </w:rPr>
      </w:pPr>
      <w:r w:rsidRPr="00ED7BE1">
        <w:t xml:space="preserve">Segmentation would be needed because there </w:t>
      </w:r>
      <w:r>
        <w:t>is</w:t>
      </w:r>
      <w:r w:rsidRPr="00ED7BE1">
        <w:t xml:space="preserve"> no proven spectrum access technology, which shows a significant improvement of compatibility of ultra-low duty cycle, battery operated devices, wireless audio and video occupies the channel for long time. This is not compatible with low duty cycle operation leading to short latency times. Medium and high power should not be mixed with low power. Alarms have to provide short latency times. Therefore the spectrum of alarms should be dedicated to these applications and should not be overlapped by other applications (protect life first and spectrum second).</w:t>
      </w:r>
    </w:p>
    <w:p w:rsidR="009E51D5" w:rsidRDefault="009E51D5" w:rsidP="009E51D5">
      <w:pPr>
        <w:rPr>
          <w:rFonts w:cs="Arial"/>
          <w:sz w:val="22"/>
          <w:szCs w:val="22"/>
        </w:rPr>
      </w:pPr>
    </w:p>
    <w:tbl>
      <w:tblPr>
        <w:tblW w:w="0" w:type="auto"/>
        <w:tblBorders>
          <w:top w:val="single" w:sz="4" w:space="0" w:color="D2232A"/>
          <w:left w:val="single" w:sz="4" w:space="0" w:color="D2232A"/>
          <w:bottom w:val="single" w:sz="4" w:space="0" w:color="D2232A"/>
          <w:right w:val="single" w:sz="4" w:space="0" w:color="D2232A"/>
          <w:insideH w:val="single" w:sz="4" w:space="0" w:color="D2232A"/>
          <w:insideV w:val="single" w:sz="4" w:space="0" w:color="D2232A"/>
        </w:tblBorders>
        <w:tblCellMar>
          <w:top w:w="11" w:type="dxa"/>
          <w:bottom w:w="11" w:type="dxa"/>
        </w:tblCellMar>
        <w:tblLook w:val="01E0" w:firstRow="1" w:lastRow="1" w:firstColumn="1" w:lastColumn="1" w:noHBand="0" w:noVBand="0"/>
      </w:tblPr>
      <w:tblGrid>
        <w:gridCol w:w="9855"/>
      </w:tblGrid>
      <w:tr w:rsidR="009E51D5" w:rsidRPr="00116031" w:rsidTr="009E51D5">
        <w:trPr>
          <w:tblHeader/>
        </w:trPr>
        <w:tc>
          <w:tcPr>
            <w:tcW w:w="9855" w:type="dxa"/>
            <w:shd w:val="clear" w:color="auto" w:fill="D2232A"/>
            <w:vAlign w:val="center"/>
          </w:tcPr>
          <w:p w:rsidR="009E51D5" w:rsidRPr="00116031" w:rsidRDefault="009E51D5" w:rsidP="004940CA">
            <w:pPr>
              <w:pStyle w:val="ECCParagraph"/>
              <w:jc w:val="center"/>
              <w:rPr>
                <w:b/>
                <w:color w:val="FFFFFF" w:themeColor="background1"/>
              </w:rPr>
            </w:pPr>
            <w:r w:rsidRPr="00116031">
              <w:rPr>
                <w:b/>
                <w:color w:val="FFFFFF" w:themeColor="background1"/>
              </w:rPr>
              <w:t>Assessment</w:t>
            </w:r>
          </w:p>
        </w:tc>
      </w:tr>
      <w:tr w:rsidR="009E51D5" w:rsidRPr="00D52AE5" w:rsidTr="009E51D5">
        <w:tc>
          <w:tcPr>
            <w:tcW w:w="9855" w:type="dxa"/>
            <w:vAlign w:val="center"/>
          </w:tcPr>
          <w:p w:rsidR="009E51D5" w:rsidRPr="00213C2B" w:rsidRDefault="004940CA" w:rsidP="004940CA">
            <w:pPr>
              <w:pStyle w:val="ECCParagraph"/>
            </w:pPr>
            <w:r>
              <w:t>I</w:t>
            </w:r>
            <w:r w:rsidR="009E51D5" w:rsidRPr="00213C2B">
              <w:t>t would be better to differentiate between application neutrality (i.e. the possibility to combine application that have similar spectrum requirements) and technology neutrality (i.e. the same application can use different technologies for the spectrum access). The concept of application neutrality seems to be more accepted than the concept of technology neutrality. Therefore, to keep application neutrality may be a key point for changing regulation in the future. On the other side, this means that spectrum sharing is important and applications with similar spectrum requirements need to share spectrum to maximize the spectrum usage.</w:t>
            </w:r>
          </w:p>
        </w:tc>
      </w:tr>
    </w:tbl>
    <w:p w:rsidR="009E51D5" w:rsidRPr="00DC55F3" w:rsidRDefault="009E51D5" w:rsidP="009E51D5">
      <w:pPr>
        <w:rPr>
          <w:rFonts w:cs="Arial"/>
          <w:b/>
          <w:bCs/>
          <w:sz w:val="22"/>
          <w:szCs w:val="22"/>
        </w:rPr>
      </w:pPr>
    </w:p>
    <w:p w:rsidR="009E51D5" w:rsidRPr="00ED7BE1" w:rsidRDefault="009E51D5" w:rsidP="009E51D5">
      <w:pPr>
        <w:rPr>
          <w:rFonts w:cs="Arial"/>
          <w:b/>
          <w:bCs/>
        </w:rPr>
      </w:pPr>
      <w:r w:rsidRPr="00ED7BE1">
        <w:rPr>
          <w:rFonts w:cs="Arial"/>
          <w:b/>
          <w:bCs/>
        </w:rPr>
        <w:t xml:space="preserve">Questions 19 and 20: </w:t>
      </w:r>
    </w:p>
    <w:p w:rsidR="009E51D5" w:rsidRPr="00E66A4D" w:rsidRDefault="009E51D5" w:rsidP="009E51D5">
      <w:pPr>
        <w:pStyle w:val="ECCParagraph"/>
        <w:rPr>
          <w:b/>
        </w:rPr>
      </w:pPr>
      <w:r w:rsidRPr="00E66A4D">
        <w:rPr>
          <w:b/>
        </w:rPr>
        <w:t>Do you have proposals and descriptions of modifications to the technical parameters keeping in mind that the use of the spectrum has to be as much as possible technology neutral meanwhile ensuring that other SRD applications (incl. existing ones) have to share the same spectrum on equal basis and work properly?</w:t>
      </w:r>
    </w:p>
    <w:p w:rsidR="009E51D5" w:rsidRPr="00ED7BE1" w:rsidRDefault="009E51D5" w:rsidP="009E51D5">
      <w:pPr>
        <w:pStyle w:val="ECCParagraph"/>
      </w:pPr>
      <w:r w:rsidRPr="00213C2B">
        <w:t>Any other suggestions</w:t>
      </w:r>
      <w:r w:rsidRPr="00ED7BE1">
        <w:t>?</w:t>
      </w:r>
    </w:p>
    <w:p w:rsidR="009E51D5" w:rsidRPr="00ED7BE1" w:rsidRDefault="009E51D5" w:rsidP="009E51D5">
      <w:pPr>
        <w:pStyle w:val="ECCParagraph"/>
      </w:pPr>
      <w:r w:rsidRPr="00ED7BE1">
        <w:lastRenderedPageBreak/>
        <w:t>Only a limited number of responders delivered contributions under these two questions. However, a lot of suggestions was already made earlier under the other questions, in particular questions 16 to 18. The following suggestions were received under question 19 and 20:</w:t>
      </w:r>
    </w:p>
    <w:p w:rsidR="009E51D5" w:rsidRPr="00ED7BE1" w:rsidRDefault="009E51D5" w:rsidP="008F612F">
      <w:pPr>
        <w:pStyle w:val="ECCParBulleted"/>
        <w:numPr>
          <w:ilvl w:val="0"/>
          <w:numId w:val="39"/>
        </w:numPr>
        <w:spacing w:after="120"/>
        <w:rPr>
          <w:bCs/>
        </w:rPr>
      </w:pPr>
      <w:r w:rsidRPr="00ED7BE1">
        <w:t xml:space="preserve">Within the last 5 years CEPT ECC conducted many investigations on SRDs (see its Strategic Reports as relevant). ETSI starting from 2008 addressed further demands by System Reference Documents TR 102 649-2, TR 102 886 and TR 103 055. There is a clear understanding about the huge SRDs, RFID and Smart Metering market that supports all citizens in terms of social and economic daily benefits. The growth by quantity and by application is dramatic; this well justifies 863-870MHz expansion to the underused 870-876MHz spectrum; </w:t>
      </w:r>
    </w:p>
    <w:p w:rsidR="009E51D5" w:rsidRPr="00ED7BE1" w:rsidRDefault="009E51D5" w:rsidP="008F612F">
      <w:pPr>
        <w:pStyle w:val="ECCParBulleted"/>
        <w:numPr>
          <w:ilvl w:val="0"/>
          <w:numId w:val="39"/>
        </w:numPr>
        <w:spacing w:after="120"/>
        <w:rPr>
          <w:rFonts w:cs="Arial"/>
          <w:bCs/>
        </w:rPr>
      </w:pPr>
      <w:r w:rsidRPr="00ED7BE1">
        <w:rPr>
          <w:rFonts w:cs="Arial"/>
          <w:bCs/>
        </w:rPr>
        <w:t>Limit the number of power categories (e.g. 25 mW / 500 mW);</w:t>
      </w:r>
    </w:p>
    <w:p w:rsidR="009E51D5" w:rsidRPr="00ED7BE1" w:rsidRDefault="009E51D5" w:rsidP="008F612F">
      <w:pPr>
        <w:pStyle w:val="ECCParBulleted"/>
        <w:numPr>
          <w:ilvl w:val="0"/>
          <w:numId w:val="39"/>
        </w:numPr>
        <w:spacing w:after="120"/>
        <w:rPr>
          <w:rFonts w:cs="Arial"/>
          <w:bCs/>
        </w:rPr>
      </w:pPr>
      <w:r w:rsidRPr="00ED7BE1">
        <w:rPr>
          <w:rFonts w:cs="Arial"/>
          <w:bCs/>
        </w:rPr>
        <w:t>Move closer to the rest of the world in terms of frequencies;</w:t>
      </w:r>
    </w:p>
    <w:p w:rsidR="009E51D5" w:rsidRPr="00ED7BE1" w:rsidRDefault="009E51D5" w:rsidP="008F612F">
      <w:pPr>
        <w:pStyle w:val="ECCParBulleted"/>
        <w:numPr>
          <w:ilvl w:val="0"/>
          <w:numId w:val="39"/>
        </w:numPr>
        <w:spacing w:after="120"/>
        <w:rPr>
          <w:rFonts w:cs="Arial"/>
          <w:bCs/>
        </w:rPr>
      </w:pPr>
      <w:r w:rsidRPr="00ED7BE1">
        <w:rPr>
          <w:rFonts w:cs="Arial"/>
          <w:bCs/>
        </w:rPr>
        <w:t>All SRDs to be treated equally;</w:t>
      </w:r>
    </w:p>
    <w:p w:rsidR="009E51D5" w:rsidRPr="00ED7BE1" w:rsidRDefault="009E51D5" w:rsidP="008F612F">
      <w:pPr>
        <w:pStyle w:val="ECCParBulleted"/>
        <w:numPr>
          <w:ilvl w:val="0"/>
          <w:numId w:val="39"/>
        </w:numPr>
        <w:spacing w:after="120"/>
        <w:rPr>
          <w:rFonts w:cs="Arial"/>
          <w:bCs/>
        </w:rPr>
      </w:pPr>
      <w:r w:rsidRPr="00ED7BE1">
        <w:rPr>
          <w:rFonts w:cs="Arial"/>
          <w:bCs/>
        </w:rPr>
        <w:t>All backscatter devices to be treated equally;</w:t>
      </w:r>
    </w:p>
    <w:p w:rsidR="009E51D5" w:rsidRPr="00ED7BE1" w:rsidRDefault="009E51D5" w:rsidP="008F612F">
      <w:pPr>
        <w:pStyle w:val="ECCParBulleted"/>
        <w:numPr>
          <w:ilvl w:val="0"/>
          <w:numId w:val="39"/>
        </w:numPr>
        <w:spacing w:after="120"/>
        <w:rPr>
          <w:rFonts w:cs="Arial"/>
          <w:bCs/>
        </w:rPr>
      </w:pPr>
      <w:r w:rsidRPr="00ED7BE1">
        <w:rPr>
          <w:rFonts w:cs="Arial"/>
          <w:bCs/>
        </w:rPr>
        <w:t>Remove notes in Annex 1 of ERC/REC 70-03</w:t>
      </w:r>
      <w:r w:rsidR="00532580">
        <w:rPr>
          <w:rFonts w:cs="Arial"/>
          <w:bCs/>
        </w:rPr>
        <w:t xml:space="preserve"> </w:t>
      </w:r>
      <w:r w:rsidR="00532580">
        <w:rPr>
          <w:rFonts w:cs="Arial"/>
          <w:bCs/>
        </w:rPr>
        <w:fldChar w:fldCharType="begin"/>
      </w:r>
      <w:r w:rsidR="00532580">
        <w:rPr>
          <w:rFonts w:cs="Arial"/>
          <w:bCs/>
        </w:rPr>
        <w:instrText xml:space="preserve"> REF _Ref321997834 \r \h </w:instrText>
      </w:r>
      <w:r w:rsidR="00532580">
        <w:rPr>
          <w:rFonts w:cs="Arial"/>
          <w:bCs/>
        </w:rPr>
      </w:r>
      <w:r w:rsidR="00532580">
        <w:rPr>
          <w:rFonts w:cs="Arial"/>
          <w:bCs/>
        </w:rPr>
        <w:fldChar w:fldCharType="separate"/>
      </w:r>
      <w:r w:rsidR="001A06A7">
        <w:rPr>
          <w:rFonts w:cs="Arial"/>
          <w:bCs/>
        </w:rPr>
        <w:t>[1]</w:t>
      </w:r>
      <w:r w:rsidR="00532580">
        <w:rPr>
          <w:rFonts w:cs="Arial"/>
          <w:bCs/>
        </w:rPr>
        <w:fldChar w:fldCharType="end"/>
      </w:r>
      <w:r w:rsidRPr="00ED7BE1">
        <w:rPr>
          <w:rFonts w:cs="Arial"/>
          <w:bCs/>
        </w:rPr>
        <w:t>;</w:t>
      </w:r>
    </w:p>
    <w:p w:rsidR="009E51D5" w:rsidRPr="00ED7BE1" w:rsidRDefault="009E51D5" w:rsidP="008F612F">
      <w:pPr>
        <w:pStyle w:val="ECCParBulleted"/>
        <w:numPr>
          <w:ilvl w:val="0"/>
          <w:numId w:val="39"/>
        </w:numPr>
        <w:spacing w:after="120"/>
        <w:rPr>
          <w:rFonts w:cs="Arial"/>
          <w:bCs/>
        </w:rPr>
      </w:pPr>
      <w:r w:rsidRPr="00ED7BE1">
        <w:rPr>
          <w:rFonts w:cs="Arial"/>
          <w:bCs/>
        </w:rPr>
        <w:t>Move FHSS closer to the rest of the world (i.e. less nb of channels); allow more power for FHSS;</w:t>
      </w:r>
    </w:p>
    <w:p w:rsidR="009E51D5" w:rsidRPr="00ED7BE1" w:rsidRDefault="009E51D5" w:rsidP="008F612F">
      <w:pPr>
        <w:pStyle w:val="ECCParBulleted"/>
        <w:numPr>
          <w:ilvl w:val="0"/>
          <w:numId w:val="39"/>
        </w:numPr>
        <w:spacing w:after="120"/>
        <w:rPr>
          <w:rFonts w:cs="Arial"/>
          <w:bCs/>
        </w:rPr>
      </w:pPr>
      <w:r w:rsidRPr="00ED7BE1">
        <w:rPr>
          <w:rFonts w:cs="Arial"/>
          <w:bCs/>
        </w:rPr>
        <w:t>Consider new LDC mode, however with more power for increased range;</w:t>
      </w:r>
    </w:p>
    <w:p w:rsidR="009E51D5" w:rsidRPr="00ED7BE1" w:rsidRDefault="009E51D5" w:rsidP="008F612F">
      <w:pPr>
        <w:pStyle w:val="ECCParBulleted"/>
        <w:numPr>
          <w:ilvl w:val="0"/>
          <w:numId w:val="39"/>
        </w:numPr>
        <w:spacing w:after="120"/>
        <w:rPr>
          <w:rFonts w:cs="Arial"/>
          <w:bCs/>
        </w:rPr>
      </w:pPr>
      <w:r w:rsidRPr="00ED7BE1">
        <w:rPr>
          <w:rFonts w:cs="Arial"/>
          <w:bCs/>
        </w:rPr>
        <w:t>Consider some control mechanisms that only designated spectrum is used by the respective applications;</w:t>
      </w:r>
    </w:p>
    <w:p w:rsidR="009E51D5" w:rsidRPr="00ED7BE1" w:rsidRDefault="009E51D5" w:rsidP="008F612F">
      <w:pPr>
        <w:pStyle w:val="ECCParBulleted"/>
        <w:numPr>
          <w:ilvl w:val="0"/>
          <w:numId w:val="39"/>
        </w:numPr>
        <w:spacing w:after="120"/>
        <w:rPr>
          <w:rFonts w:cs="Arial"/>
          <w:bCs/>
        </w:rPr>
      </w:pPr>
      <w:r w:rsidRPr="00ED7BE1">
        <w:rPr>
          <w:rFonts w:cs="Arial"/>
          <w:bCs/>
        </w:rPr>
        <w:t>Consider the 3 ETSI SRDocs containing spectrum utilization proposals in the adjacent duplex band above 870 MHz taking into account that growth in quantity and by applications ;</w:t>
      </w:r>
    </w:p>
    <w:p w:rsidR="009E51D5" w:rsidRPr="00ED7BE1" w:rsidRDefault="009E51D5" w:rsidP="008F612F">
      <w:pPr>
        <w:pStyle w:val="ECCParBulleted"/>
        <w:numPr>
          <w:ilvl w:val="0"/>
          <w:numId w:val="39"/>
        </w:numPr>
        <w:spacing w:after="120"/>
        <w:rPr>
          <w:rFonts w:cs="Arial"/>
          <w:bCs/>
        </w:rPr>
      </w:pPr>
      <w:r w:rsidRPr="00ED7BE1">
        <w:rPr>
          <w:rFonts w:cs="Arial"/>
          <w:bCs/>
        </w:rPr>
        <w:t>Consider spectrum for higher quality equipment (category 1);</w:t>
      </w:r>
    </w:p>
    <w:p w:rsidR="009E51D5" w:rsidRPr="00ED7BE1" w:rsidRDefault="009E51D5" w:rsidP="008F612F">
      <w:pPr>
        <w:pStyle w:val="ECCParBulleted"/>
        <w:numPr>
          <w:ilvl w:val="0"/>
          <w:numId w:val="39"/>
        </w:numPr>
        <w:spacing w:after="120"/>
        <w:rPr>
          <w:rFonts w:cs="Arial"/>
          <w:bCs/>
        </w:rPr>
      </w:pPr>
      <w:r w:rsidRPr="00ED7BE1">
        <w:rPr>
          <w:rFonts w:cs="Arial"/>
          <w:bCs/>
        </w:rPr>
        <w:t>Consider a 24 h duty cycle with busy hour and idle hours:</w:t>
      </w:r>
    </w:p>
    <w:p w:rsidR="009E51D5" w:rsidRPr="00ED7BE1" w:rsidRDefault="009E51D5" w:rsidP="008F612F">
      <w:pPr>
        <w:pStyle w:val="ECCParBulleted"/>
        <w:numPr>
          <w:ilvl w:val="0"/>
          <w:numId w:val="39"/>
        </w:numPr>
        <w:spacing w:after="120"/>
        <w:rPr>
          <w:rFonts w:cs="Arial"/>
          <w:bCs/>
        </w:rPr>
      </w:pPr>
      <w:r w:rsidRPr="00ED7BE1">
        <w:rPr>
          <w:rFonts w:cs="Arial"/>
          <w:bCs/>
        </w:rPr>
        <w:t>Consider some DC-only bands;</w:t>
      </w:r>
    </w:p>
    <w:p w:rsidR="009E51D5" w:rsidRPr="00ED7BE1" w:rsidRDefault="009E51D5" w:rsidP="008F612F">
      <w:pPr>
        <w:pStyle w:val="ECCParBulleted"/>
        <w:numPr>
          <w:ilvl w:val="0"/>
          <w:numId w:val="39"/>
        </w:numPr>
        <w:spacing w:after="120"/>
        <w:rPr>
          <w:rFonts w:cs="Arial"/>
          <w:bCs/>
        </w:rPr>
      </w:pPr>
      <w:r w:rsidRPr="00ED7BE1">
        <w:rPr>
          <w:rFonts w:cs="Arial"/>
          <w:bCs/>
        </w:rPr>
        <w:t>Alarms should go out of 863-870 MHz;</w:t>
      </w:r>
    </w:p>
    <w:p w:rsidR="009E51D5" w:rsidRPr="00ED7BE1" w:rsidRDefault="009E51D5" w:rsidP="008F612F">
      <w:pPr>
        <w:pStyle w:val="ECCParBulleted"/>
        <w:numPr>
          <w:ilvl w:val="0"/>
          <w:numId w:val="39"/>
        </w:numPr>
        <w:spacing w:after="120"/>
        <w:rPr>
          <w:rFonts w:cs="Arial"/>
          <w:bCs/>
        </w:rPr>
      </w:pPr>
      <w:r w:rsidRPr="00ED7BE1">
        <w:rPr>
          <w:rFonts w:cs="Arial"/>
        </w:rPr>
        <w:t>RFID: Additional bandwidth with more channels with 0.6 or 1.2 MHz spacing;</w:t>
      </w:r>
    </w:p>
    <w:p w:rsidR="009E51D5" w:rsidRPr="00ED7BE1" w:rsidRDefault="009E51D5" w:rsidP="008F612F">
      <w:pPr>
        <w:pStyle w:val="ECCParBulleted"/>
        <w:numPr>
          <w:ilvl w:val="0"/>
          <w:numId w:val="39"/>
        </w:numPr>
        <w:spacing w:after="120"/>
        <w:rPr>
          <w:rFonts w:cs="Arial"/>
          <w:bCs/>
        </w:rPr>
      </w:pPr>
      <w:r w:rsidRPr="00ED7BE1">
        <w:rPr>
          <w:rFonts w:cs="Arial"/>
        </w:rPr>
        <w:t>Reservation of 868,3 and 868,95 MHz as centre frequencies for wireless M-Bus (wM-Bus) and meter reading;</w:t>
      </w:r>
    </w:p>
    <w:p w:rsidR="009E51D5" w:rsidRPr="00ED7BE1" w:rsidRDefault="009E51D5" w:rsidP="008F612F">
      <w:pPr>
        <w:pStyle w:val="ECCParBulleted"/>
        <w:numPr>
          <w:ilvl w:val="0"/>
          <w:numId w:val="39"/>
        </w:numPr>
        <w:spacing w:after="120"/>
        <w:rPr>
          <w:rFonts w:cs="Arial"/>
          <w:bCs/>
        </w:rPr>
      </w:pPr>
      <w:r w:rsidRPr="00ED7BE1">
        <w:rPr>
          <w:rFonts w:cs="Arial"/>
        </w:rPr>
        <w:t>For FHSS without LBT, duty cycle could be specified as 0,1% per channel in the band 863-870 MHz or 1% per channel in the band 865-868 MHz in order to be consistent with the same specification already allowed for frequency agility without LBT;</w:t>
      </w:r>
    </w:p>
    <w:p w:rsidR="009E51D5" w:rsidRPr="00ED7BE1" w:rsidRDefault="009E51D5" w:rsidP="008F612F">
      <w:pPr>
        <w:pStyle w:val="ECCParBulleted"/>
        <w:numPr>
          <w:ilvl w:val="0"/>
          <w:numId w:val="39"/>
        </w:numPr>
        <w:spacing w:after="120"/>
        <w:rPr>
          <w:rFonts w:cs="Arial"/>
          <w:bCs/>
        </w:rPr>
      </w:pPr>
      <w:r w:rsidRPr="00ED7BE1">
        <w:rPr>
          <w:rFonts w:cs="Arial"/>
        </w:rPr>
        <w:t>Possibility to use FHSS with less than 47 channels, that is 25 channels as for the 902-928 MHz  ISM band in the USA;</w:t>
      </w:r>
    </w:p>
    <w:p w:rsidR="009E51D5" w:rsidRPr="00ED7BE1" w:rsidRDefault="009E51D5" w:rsidP="008F612F">
      <w:pPr>
        <w:pStyle w:val="ECCParBulleted"/>
        <w:numPr>
          <w:ilvl w:val="0"/>
          <w:numId w:val="39"/>
        </w:numPr>
        <w:spacing w:after="120"/>
        <w:rPr>
          <w:rFonts w:cs="Arial"/>
          <w:bCs/>
        </w:rPr>
      </w:pPr>
      <w:r w:rsidRPr="00ED7BE1">
        <w:rPr>
          <w:rFonts w:cs="Arial"/>
        </w:rPr>
        <w:t>Use of limited Duty Cycles or Spectral Power Density;</w:t>
      </w:r>
    </w:p>
    <w:p w:rsidR="009E51D5" w:rsidRPr="00ED7BE1" w:rsidRDefault="009E51D5" w:rsidP="008F612F">
      <w:pPr>
        <w:pStyle w:val="ECCParBulleted"/>
        <w:numPr>
          <w:ilvl w:val="0"/>
          <w:numId w:val="39"/>
        </w:numPr>
        <w:spacing w:after="120"/>
        <w:rPr>
          <w:rFonts w:cs="Arial"/>
          <w:bCs/>
        </w:rPr>
      </w:pPr>
      <w:r w:rsidRPr="00ED7BE1">
        <w:rPr>
          <w:rFonts w:cs="Arial"/>
        </w:rPr>
        <w:t>Designate different bands for different neutral technology specifications;</w:t>
      </w:r>
    </w:p>
    <w:p w:rsidR="009E51D5" w:rsidRPr="00ED7BE1" w:rsidRDefault="009E51D5" w:rsidP="008F612F">
      <w:pPr>
        <w:pStyle w:val="ECCParBulleted"/>
        <w:numPr>
          <w:ilvl w:val="0"/>
          <w:numId w:val="39"/>
        </w:numPr>
        <w:spacing w:after="120"/>
        <w:rPr>
          <w:rFonts w:cs="Arial"/>
        </w:rPr>
      </w:pPr>
      <w:r w:rsidRPr="00ED7BE1">
        <w:rPr>
          <w:rFonts w:cs="Arial"/>
        </w:rPr>
        <w:t>Remove a maximum of notes in REC</w:t>
      </w:r>
      <w:r w:rsidR="00DD1D4B">
        <w:rPr>
          <w:rFonts w:cs="Arial"/>
        </w:rPr>
        <w:t xml:space="preserve"> </w:t>
      </w:r>
      <w:r w:rsidRPr="00ED7BE1">
        <w:rPr>
          <w:rFonts w:cs="Arial"/>
        </w:rPr>
        <w:t>70.03 Annex 1</w:t>
      </w:r>
      <w:r w:rsidR="00532580">
        <w:rPr>
          <w:rFonts w:cs="Arial"/>
        </w:rPr>
        <w:t xml:space="preserve"> </w:t>
      </w:r>
      <w:r w:rsidR="00532580">
        <w:rPr>
          <w:rFonts w:cs="Arial"/>
        </w:rPr>
        <w:fldChar w:fldCharType="begin"/>
      </w:r>
      <w:r w:rsidR="00532580">
        <w:rPr>
          <w:rFonts w:cs="Arial"/>
        </w:rPr>
        <w:instrText xml:space="preserve"> REF _Ref321997834 \r \h </w:instrText>
      </w:r>
      <w:r w:rsidR="00532580">
        <w:rPr>
          <w:rFonts w:cs="Arial"/>
        </w:rPr>
      </w:r>
      <w:r w:rsidR="00532580">
        <w:rPr>
          <w:rFonts w:cs="Arial"/>
        </w:rPr>
        <w:fldChar w:fldCharType="separate"/>
      </w:r>
      <w:r w:rsidR="001A06A7">
        <w:rPr>
          <w:rFonts w:cs="Arial"/>
        </w:rPr>
        <w:t>[1]</w:t>
      </w:r>
      <w:r w:rsidR="00532580">
        <w:rPr>
          <w:rFonts w:cs="Arial"/>
        </w:rPr>
        <w:fldChar w:fldCharType="end"/>
      </w:r>
      <w:r w:rsidRPr="00ED7BE1">
        <w:rPr>
          <w:rFonts w:cs="Arial"/>
        </w:rPr>
        <w:t>.</w:t>
      </w:r>
    </w:p>
    <w:p w:rsidR="009E51D5" w:rsidRPr="00ED7BE1" w:rsidRDefault="009E51D5" w:rsidP="008F612F">
      <w:pPr>
        <w:pStyle w:val="ECCParBulleted"/>
        <w:numPr>
          <w:ilvl w:val="0"/>
          <w:numId w:val="39"/>
        </w:numPr>
        <w:spacing w:after="120"/>
      </w:pPr>
      <w:r w:rsidRPr="005A39A3">
        <w:t>Introduce a new type of use which is application and technology neutral based on the following principle: If the max cumulated transmitter-on-time over one hour reach 90s in any portion of 200 kHz spectrum, the device shall move to another frequency at least 200 kHz away. Description: If the device transmits a few bits, it can be done at the same frequency</w:t>
      </w:r>
      <w:r w:rsidRPr="005261CD">
        <w:t>. If a device transmits a lot of data, it can be done but after 90s, it has</w:t>
      </w:r>
      <w:r w:rsidRPr="00ED7BE1">
        <w:t xml:space="preserve"> to move to another frequency in the band;</w:t>
      </w:r>
    </w:p>
    <w:p w:rsidR="009E51D5" w:rsidRPr="00ED7BE1" w:rsidRDefault="009E51D5" w:rsidP="008F612F">
      <w:pPr>
        <w:pStyle w:val="ECCParBulleted"/>
        <w:numPr>
          <w:ilvl w:val="0"/>
          <w:numId w:val="39"/>
        </w:numPr>
        <w:spacing w:after="120"/>
      </w:pPr>
      <w:r w:rsidRPr="00ED7BE1">
        <w:t>FHSS technology must be authorized with a duty cycle relax. Otherwise, there is no interest to develop a hopping frequency system;</w:t>
      </w:r>
    </w:p>
    <w:p w:rsidR="009E51D5" w:rsidRPr="00ED7BE1" w:rsidRDefault="009E51D5" w:rsidP="008F612F">
      <w:pPr>
        <w:pStyle w:val="ECCParBulleted"/>
        <w:numPr>
          <w:ilvl w:val="0"/>
          <w:numId w:val="39"/>
        </w:numPr>
        <w:spacing w:after="120"/>
      </w:pPr>
      <w:r w:rsidRPr="00ED7BE1">
        <w:t xml:space="preserve">Avoid limitations which will prevent technical creativity which </w:t>
      </w:r>
      <w:r>
        <w:t>considers the</w:t>
      </w:r>
      <w:r w:rsidRPr="00ED7BE1">
        <w:t xml:space="preserve"> efficient use of the spectrum;</w:t>
      </w:r>
    </w:p>
    <w:p w:rsidR="009E51D5" w:rsidRDefault="009E51D5" w:rsidP="008F612F">
      <w:pPr>
        <w:pStyle w:val="ECCParBulleted"/>
        <w:numPr>
          <w:ilvl w:val="0"/>
          <w:numId w:val="39"/>
        </w:numPr>
      </w:pPr>
      <w:r w:rsidRPr="00ED7BE1">
        <w:lastRenderedPageBreak/>
        <w:t xml:space="preserve">Publish manufacturers / users per spectral slot and allow them to describe their application. </w:t>
      </w:r>
      <w:r>
        <w:t>T</w:t>
      </w:r>
      <w:r w:rsidRPr="00ED7BE1">
        <w:t>ransparency of usage is greatly welcomed</w:t>
      </w:r>
      <w:r>
        <w:t>.</w:t>
      </w:r>
    </w:p>
    <w:p w:rsidR="009E51D5" w:rsidRDefault="009E51D5" w:rsidP="009E51D5">
      <w:pPr>
        <w:pStyle w:val="ECCParBulleted"/>
        <w:numPr>
          <w:ilvl w:val="0"/>
          <w:numId w:val="0"/>
        </w:numPr>
        <w:ind w:left="340" w:hanging="340"/>
      </w:pPr>
    </w:p>
    <w:p w:rsidR="009E51D5" w:rsidRDefault="009E51D5" w:rsidP="009E51D5">
      <w:pPr>
        <w:pStyle w:val="ECCParagraph"/>
        <w:rPr>
          <w:bCs/>
        </w:rPr>
      </w:pPr>
      <w:r w:rsidRPr="00ED7BE1">
        <w:rPr>
          <w:bCs/>
        </w:rPr>
        <w:t>Statements about keeping the status quo or about other spectrum than 863-870 MHz under these questions were not included in this summary.</w:t>
      </w:r>
    </w:p>
    <w:p w:rsidR="004940CA" w:rsidRDefault="004940CA" w:rsidP="009E51D5">
      <w:pPr>
        <w:pStyle w:val="ECCParagraph"/>
        <w:rPr>
          <w:bCs/>
        </w:rPr>
      </w:pPr>
    </w:p>
    <w:tbl>
      <w:tblPr>
        <w:tblW w:w="0" w:type="auto"/>
        <w:tblBorders>
          <w:top w:val="single" w:sz="4" w:space="0" w:color="D2232A"/>
          <w:left w:val="single" w:sz="4" w:space="0" w:color="D2232A"/>
          <w:bottom w:val="single" w:sz="4" w:space="0" w:color="D2232A"/>
          <w:right w:val="single" w:sz="4" w:space="0" w:color="D2232A"/>
          <w:insideH w:val="single" w:sz="4" w:space="0" w:color="D2232A"/>
          <w:insideV w:val="single" w:sz="4" w:space="0" w:color="D2232A"/>
        </w:tblBorders>
        <w:tblCellMar>
          <w:top w:w="11" w:type="dxa"/>
          <w:bottom w:w="11" w:type="dxa"/>
        </w:tblCellMar>
        <w:tblLook w:val="01E0" w:firstRow="1" w:lastRow="1" w:firstColumn="1" w:lastColumn="1" w:noHBand="0" w:noVBand="0"/>
      </w:tblPr>
      <w:tblGrid>
        <w:gridCol w:w="9855"/>
      </w:tblGrid>
      <w:tr w:rsidR="009E51D5" w:rsidRPr="00116031" w:rsidTr="009E51D5">
        <w:trPr>
          <w:tblHeader/>
        </w:trPr>
        <w:tc>
          <w:tcPr>
            <w:tcW w:w="9855" w:type="dxa"/>
            <w:shd w:val="clear" w:color="auto" w:fill="D2232A"/>
            <w:vAlign w:val="center"/>
          </w:tcPr>
          <w:p w:rsidR="009E51D5" w:rsidRPr="00116031" w:rsidRDefault="009E51D5" w:rsidP="004940CA">
            <w:pPr>
              <w:pStyle w:val="ECCParagraph"/>
              <w:jc w:val="center"/>
              <w:rPr>
                <w:b/>
                <w:color w:val="FFFFFF" w:themeColor="background1"/>
              </w:rPr>
            </w:pPr>
            <w:r w:rsidRPr="00116031">
              <w:rPr>
                <w:b/>
                <w:color w:val="FFFFFF" w:themeColor="background1"/>
              </w:rPr>
              <w:t>Assessment</w:t>
            </w:r>
          </w:p>
        </w:tc>
      </w:tr>
      <w:tr w:rsidR="009E51D5" w:rsidRPr="00D52AE5" w:rsidTr="009E51D5">
        <w:tc>
          <w:tcPr>
            <w:tcW w:w="9855" w:type="dxa"/>
            <w:vAlign w:val="center"/>
          </w:tcPr>
          <w:p w:rsidR="004940CA" w:rsidRDefault="004940CA" w:rsidP="004940CA">
            <w:pPr>
              <w:pStyle w:val="ECCParagraph"/>
            </w:pPr>
            <w:r>
              <w:t>C</w:t>
            </w:r>
            <w:r w:rsidR="009E51D5" w:rsidRPr="00DC55F3">
              <w:t>onsider a number of the suggestions in detail</w:t>
            </w:r>
            <w:r>
              <w:t>.</w:t>
            </w:r>
          </w:p>
          <w:p w:rsidR="009E51D5" w:rsidRPr="00D52AE5" w:rsidRDefault="009E51D5" w:rsidP="004940CA">
            <w:pPr>
              <w:pStyle w:val="ECCParagraph"/>
            </w:pPr>
            <w:r>
              <w:t>The principle of having a cumulated Tx-on-time in any portion of 200 kHz spectrum is going to be investigated under SE24 WI_23. This principle has already been incorporated in ETSI EN 300</w:t>
            </w:r>
            <w:r w:rsidR="00532580">
              <w:t> </w:t>
            </w:r>
            <w:r>
              <w:t>220</w:t>
            </w:r>
            <w:r w:rsidR="00532580">
              <w:t xml:space="preserve"> </w:t>
            </w:r>
            <w:r w:rsidR="00532580">
              <w:fldChar w:fldCharType="begin"/>
            </w:r>
            <w:r w:rsidR="00532580">
              <w:instrText xml:space="preserve"> REF _Ref321997867 \r \h </w:instrText>
            </w:r>
            <w:r w:rsidR="00532580">
              <w:fldChar w:fldCharType="separate"/>
            </w:r>
            <w:r w:rsidR="001A06A7">
              <w:t>[2]</w:t>
            </w:r>
            <w:r w:rsidR="00532580">
              <w:fldChar w:fldCharType="end"/>
            </w:r>
            <w:r>
              <w:t xml:space="preserve"> but may need further refinement. The more frequency agile the SRD equipment, the higher the cumulated Tx-on time.  Therefore, a simpler set of rules may be possible substituting the existing FH and frequency agility rules.</w:t>
            </w:r>
          </w:p>
        </w:tc>
      </w:tr>
    </w:tbl>
    <w:p w:rsidR="009E51D5" w:rsidRDefault="009E51D5" w:rsidP="009E51D5">
      <w:pPr>
        <w:ind w:left="60" w:right="-852"/>
        <w:rPr>
          <w:rFonts w:cs="Arial"/>
          <w:bCs/>
          <w:sz w:val="22"/>
          <w:szCs w:val="22"/>
        </w:rPr>
      </w:pPr>
    </w:p>
    <w:p w:rsidR="009E51D5" w:rsidRPr="00D00317" w:rsidRDefault="009E51D5" w:rsidP="00A472B6">
      <w:pPr>
        <w:pStyle w:val="Heading1"/>
      </w:pPr>
      <w:bookmarkStart w:id="11" w:name="_Toc311472693"/>
      <w:bookmarkStart w:id="12" w:name="_Toc323545847"/>
      <w:r w:rsidRPr="00D00317">
        <w:lastRenderedPageBreak/>
        <w:t>Conclusions</w:t>
      </w:r>
      <w:bookmarkEnd w:id="11"/>
      <w:bookmarkEnd w:id="12"/>
    </w:p>
    <w:p w:rsidR="0019635F" w:rsidRPr="00532580" w:rsidRDefault="0019635F" w:rsidP="0019635F">
      <w:pPr>
        <w:spacing w:before="60" w:line="312" w:lineRule="auto"/>
        <w:jc w:val="both"/>
        <w:rPr>
          <w:rFonts w:cs="Arial"/>
          <w:szCs w:val="20"/>
        </w:rPr>
      </w:pPr>
      <w:r w:rsidRPr="00532580">
        <w:rPr>
          <w:rFonts w:cs="Arial"/>
          <w:szCs w:val="20"/>
        </w:rPr>
        <w:t>WG FM endorsed the final 863-870 MHz review report from SRD/MG.</w:t>
      </w:r>
    </w:p>
    <w:p w:rsidR="0019635F" w:rsidRPr="00532580" w:rsidRDefault="0019635F" w:rsidP="0019635F">
      <w:pPr>
        <w:spacing w:before="60" w:line="312" w:lineRule="auto"/>
        <w:jc w:val="both"/>
        <w:rPr>
          <w:rFonts w:cs="Arial"/>
          <w:szCs w:val="20"/>
        </w:rPr>
      </w:pPr>
      <w:r w:rsidRPr="00532580">
        <w:rPr>
          <w:rFonts w:cs="Arial"/>
          <w:szCs w:val="20"/>
        </w:rPr>
        <w:t>The assessments include inter-alia:</w:t>
      </w:r>
    </w:p>
    <w:p w:rsidR="0019635F" w:rsidRPr="008F612F" w:rsidRDefault="0019635F" w:rsidP="008F612F">
      <w:pPr>
        <w:pStyle w:val="ListParagraph"/>
        <w:numPr>
          <w:ilvl w:val="0"/>
          <w:numId w:val="40"/>
        </w:numPr>
        <w:spacing w:before="60" w:line="312" w:lineRule="auto"/>
        <w:jc w:val="both"/>
        <w:rPr>
          <w:rFonts w:cs="Arial"/>
          <w:szCs w:val="20"/>
        </w:rPr>
      </w:pPr>
      <w:r w:rsidRPr="008F612F">
        <w:rPr>
          <w:rFonts w:cs="Arial"/>
          <w:szCs w:val="20"/>
        </w:rPr>
        <w:t>Removal of footnotes, change in format and adding of cross-references;</w:t>
      </w:r>
    </w:p>
    <w:p w:rsidR="0019635F" w:rsidRPr="008F612F" w:rsidRDefault="0019635F" w:rsidP="008F612F">
      <w:pPr>
        <w:pStyle w:val="ListParagraph"/>
        <w:numPr>
          <w:ilvl w:val="0"/>
          <w:numId w:val="40"/>
        </w:numPr>
        <w:spacing w:before="60" w:line="312" w:lineRule="auto"/>
        <w:jc w:val="both"/>
        <w:rPr>
          <w:rFonts w:cs="Arial"/>
          <w:szCs w:val="20"/>
        </w:rPr>
      </w:pPr>
      <w:r w:rsidRPr="008F612F">
        <w:rPr>
          <w:rFonts w:cs="Arial"/>
          <w:szCs w:val="20"/>
        </w:rPr>
        <w:t>Study Low Duty Cycle mitigation technique (already undertaken in SE24 and based on ETSI STF411 work);</w:t>
      </w:r>
    </w:p>
    <w:p w:rsidR="0019635F" w:rsidRPr="008F612F" w:rsidRDefault="0019635F" w:rsidP="008F612F">
      <w:pPr>
        <w:pStyle w:val="ListParagraph"/>
        <w:numPr>
          <w:ilvl w:val="0"/>
          <w:numId w:val="40"/>
        </w:numPr>
        <w:spacing w:before="60" w:line="312" w:lineRule="auto"/>
        <w:jc w:val="both"/>
        <w:rPr>
          <w:rFonts w:cs="Arial"/>
          <w:szCs w:val="20"/>
        </w:rPr>
      </w:pPr>
      <w:r w:rsidRPr="008F612F">
        <w:rPr>
          <w:rFonts w:cs="Arial"/>
          <w:szCs w:val="20"/>
        </w:rPr>
        <w:t xml:space="preserve">Review FHSS spectrum access; </w:t>
      </w:r>
    </w:p>
    <w:p w:rsidR="0019635F" w:rsidRPr="008F612F" w:rsidRDefault="004940CA" w:rsidP="008F612F">
      <w:pPr>
        <w:pStyle w:val="ListParagraph"/>
        <w:numPr>
          <w:ilvl w:val="0"/>
          <w:numId w:val="40"/>
        </w:numPr>
        <w:spacing w:before="60" w:line="312" w:lineRule="auto"/>
        <w:jc w:val="both"/>
        <w:rPr>
          <w:rFonts w:cs="Arial"/>
          <w:szCs w:val="20"/>
        </w:rPr>
      </w:pPr>
      <w:r w:rsidRPr="008F612F">
        <w:rPr>
          <w:rFonts w:cs="Arial"/>
          <w:szCs w:val="20"/>
        </w:rPr>
        <w:t>A</w:t>
      </w:r>
      <w:r w:rsidR="0019635F" w:rsidRPr="008F612F">
        <w:rPr>
          <w:rFonts w:cs="Arial"/>
          <w:szCs w:val="20"/>
        </w:rPr>
        <w:t xml:space="preserve"> large number of responses being related to smart metering and should consider liberation and perhaps expansion of spectrum usage possibilities for the metering segment;</w:t>
      </w:r>
    </w:p>
    <w:p w:rsidR="0019635F" w:rsidRPr="008F612F" w:rsidRDefault="0019635F" w:rsidP="008F612F">
      <w:pPr>
        <w:pStyle w:val="ListParagraph"/>
        <w:numPr>
          <w:ilvl w:val="0"/>
          <w:numId w:val="40"/>
        </w:numPr>
        <w:spacing w:before="60" w:line="312" w:lineRule="auto"/>
        <w:jc w:val="both"/>
        <w:rPr>
          <w:rFonts w:cs="Arial"/>
          <w:szCs w:val="20"/>
        </w:rPr>
      </w:pPr>
      <w:r w:rsidRPr="008F612F">
        <w:rPr>
          <w:rFonts w:cs="Arial"/>
          <w:szCs w:val="20"/>
        </w:rPr>
        <w:t>Worldwide harmonisation is seen as important in particular for UHF RFID applications, in particular studying frequencies in 915-921 MHz would support the idea of global harmonisation. This clear result seems also supporting the SRD/MG actions towards the ITU-R WP1B;</w:t>
      </w:r>
    </w:p>
    <w:p w:rsidR="0019635F" w:rsidRPr="008F612F" w:rsidRDefault="004940CA" w:rsidP="008F612F">
      <w:pPr>
        <w:pStyle w:val="ListParagraph"/>
        <w:numPr>
          <w:ilvl w:val="0"/>
          <w:numId w:val="40"/>
        </w:numPr>
        <w:spacing w:before="60" w:line="312" w:lineRule="auto"/>
        <w:jc w:val="both"/>
        <w:rPr>
          <w:rFonts w:cs="Arial"/>
          <w:szCs w:val="20"/>
        </w:rPr>
      </w:pPr>
      <w:r w:rsidRPr="008F612F">
        <w:rPr>
          <w:rFonts w:cs="Arial"/>
          <w:szCs w:val="20"/>
        </w:rPr>
        <w:t>I</w:t>
      </w:r>
      <w:r w:rsidR="0019635F" w:rsidRPr="008F612F">
        <w:rPr>
          <w:rFonts w:cs="Arial"/>
          <w:szCs w:val="20"/>
        </w:rPr>
        <w:t>t would be better to differentiate between application neutrality (i.e. the possibility to combine application that have similar spectrum requirements) and technology neutrality (i.e. the same application can use different technologies for the spectrum access). The concept of application neutrality seems to be more accepted than the concept of technology neutrality. Therefore, to keep application neutrality may be a key point for changing regulation in the future. On the other side, this means that spectrum sharing is important and applications with similar spectrum requirements need to share spectrum to maximize the spectrum usage;</w:t>
      </w:r>
    </w:p>
    <w:p w:rsidR="0019635F" w:rsidRPr="008F612F" w:rsidRDefault="0019635F" w:rsidP="00477344">
      <w:pPr>
        <w:pStyle w:val="ListParagraph"/>
        <w:numPr>
          <w:ilvl w:val="0"/>
          <w:numId w:val="40"/>
        </w:numPr>
        <w:spacing w:before="60" w:after="120" w:line="312" w:lineRule="auto"/>
        <w:ind w:hanging="357"/>
        <w:jc w:val="both"/>
        <w:rPr>
          <w:rFonts w:cs="Arial"/>
          <w:szCs w:val="20"/>
        </w:rPr>
      </w:pPr>
      <w:r w:rsidRPr="008F612F">
        <w:rPr>
          <w:rFonts w:cs="Arial"/>
          <w:szCs w:val="20"/>
        </w:rPr>
        <w:t>The summary represents the views from industry. Many application sectors claim to deserve special treatment, i.e. protection. In general, true protection may only be</w:t>
      </w:r>
      <w:r w:rsidRPr="00477344">
        <w:rPr>
          <w:rFonts w:cs="Arial"/>
          <w:szCs w:val="20"/>
          <w:lang w:val="en-GB"/>
        </w:rPr>
        <w:t xml:space="preserve"> realised</w:t>
      </w:r>
      <w:r w:rsidRPr="008F612F">
        <w:rPr>
          <w:rFonts w:cs="Arial"/>
          <w:szCs w:val="20"/>
        </w:rPr>
        <w:t xml:space="preserve"> in three ways</w:t>
      </w:r>
      <w:r w:rsidR="00477344">
        <w:rPr>
          <w:rFonts w:cs="Arial"/>
          <w:szCs w:val="20"/>
        </w:rPr>
        <w:t>:</w:t>
      </w:r>
    </w:p>
    <w:p w:rsidR="0019635F" w:rsidRPr="00532580" w:rsidRDefault="0019635F" w:rsidP="00477344">
      <w:pPr>
        <w:pStyle w:val="ListParagraph"/>
        <w:numPr>
          <w:ilvl w:val="0"/>
          <w:numId w:val="26"/>
        </w:numPr>
        <w:spacing w:before="60" w:after="120" w:line="312" w:lineRule="auto"/>
        <w:ind w:hanging="357"/>
        <w:jc w:val="both"/>
        <w:rPr>
          <w:rFonts w:cs="Arial"/>
          <w:szCs w:val="20"/>
        </w:rPr>
      </w:pPr>
      <w:r w:rsidRPr="00532580">
        <w:rPr>
          <w:rFonts w:cs="Arial"/>
          <w:szCs w:val="20"/>
        </w:rPr>
        <w:t>By spectrum management with licensing</w:t>
      </w:r>
    </w:p>
    <w:p w:rsidR="0019635F" w:rsidRPr="00532580" w:rsidRDefault="0019635F" w:rsidP="00477344">
      <w:pPr>
        <w:pStyle w:val="ListParagraph"/>
        <w:numPr>
          <w:ilvl w:val="0"/>
          <w:numId w:val="26"/>
        </w:numPr>
        <w:spacing w:before="60" w:after="120" w:line="312" w:lineRule="auto"/>
        <w:ind w:hanging="357"/>
        <w:jc w:val="both"/>
        <w:rPr>
          <w:rFonts w:cs="Arial"/>
          <w:szCs w:val="20"/>
        </w:rPr>
      </w:pPr>
      <w:r w:rsidRPr="00532580">
        <w:rPr>
          <w:rFonts w:cs="Arial"/>
          <w:szCs w:val="20"/>
        </w:rPr>
        <w:t xml:space="preserve">By spectrum management without licensing </w:t>
      </w:r>
    </w:p>
    <w:p w:rsidR="0019635F" w:rsidRPr="00532580" w:rsidRDefault="0019635F" w:rsidP="00532580">
      <w:pPr>
        <w:pStyle w:val="ListParagraph"/>
        <w:numPr>
          <w:ilvl w:val="0"/>
          <w:numId w:val="26"/>
        </w:numPr>
        <w:spacing w:before="60" w:line="312" w:lineRule="auto"/>
        <w:jc w:val="both"/>
        <w:rPr>
          <w:rFonts w:cs="Arial"/>
          <w:szCs w:val="20"/>
        </w:rPr>
      </w:pPr>
      <w:r w:rsidRPr="00532580">
        <w:rPr>
          <w:rFonts w:cs="Arial"/>
          <w:szCs w:val="20"/>
        </w:rPr>
        <w:t>A combination of equal spectrum access mandated by standards in combination with</w:t>
      </w:r>
      <w:r w:rsidRPr="00477344">
        <w:rPr>
          <w:rFonts w:cs="Arial"/>
          <w:szCs w:val="20"/>
          <w:lang w:val="en-GB"/>
        </w:rPr>
        <w:t xml:space="preserve"> self protection</w:t>
      </w:r>
      <w:r w:rsidRPr="00532580">
        <w:rPr>
          <w:rFonts w:cs="Arial"/>
          <w:szCs w:val="20"/>
        </w:rPr>
        <w:t xml:space="preserve"> in the form of for example redundancy, acknowledgement mechanisms or error correction.</w:t>
      </w:r>
    </w:p>
    <w:p w:rsidR="0019635F" w:rsidRPr="00532580" w:rsidRDefault="0019635F" w:rsidP="0019635F">
      <w:pPr>
        <w:spacing w:before="60" w:line="312" w:lineRule="auto"/>
        <w:ind w:left="400"/>
        <w:jc w:val="both"/>
        <w:rPr>
          <w:rFonts w:cs="Arial"/>
          <w:szCs w:val="20"/>
        </w:rPr>
      </w:pPr>
      <w:r w:rsidRPr="00532580">
        <w:rPr>
          <w:rFonts w:cs="Arial"/>
          <w:szCs w:val="20"/>
        </w:rPr>
        <w:t xml:space="preserve">The problem with certain SRD applications is that nowadays is chosen for “options 2 with a little bit of option 3”. </w:t>
      </w:r>
    </w:p>
    <w:p w:rsidR="0019635F" w:rsidRPr="00532580" w:rsidRDefault="0019635F" w:rsidP="0019635F">
      <w:pPr>
        <w:spacing w:before="60" w:line="312" w:lineRule="auto"/>
        <w:ind w:left="400"/>
        <w:jc w:val="both"/>
        <w:rPr>
          <w:rFonts w:cs="Arial"/>
          <w:szCs w:val="20"/>
        </w:rPr>
      </w:pPr>
      <w:r w:rsidRPr="00532580">
        <w:rPr>
          <w:rFonts w:cs="Arial"/>
          <w:szCs w:val="20"/>
        </w:rPr>
        <w:t>Option three should be the preferred one in the future creating an environment of constant average availability of spectrum.</w:t>
      </w:r>
    </w:p>
    <w:p w:rsidR="0019635F" w:rsidRPr="00532580" w:rsidRDefault="0019635F" w:rsidP="0019635F">
      <w:pPr>
        <w:spacing w:before="60" w:line="312" w:lineRule="auto"/>
        <w:ind w:left="400"/>
        <w:jc w:val="both"/>
        <w:rPr>
          <w:rFonts w:cs="Arial"/>
          <w:szCs w:val="20"/>
        </w:rPr>
      </w:pPr>
      <w:r w:rsidRPr="00532580">
        <w:rPr>
          <w:rFonts w:cs="Arial"/>
          <w:szCs w:val="20"/>
        </w:rPr>
        <w:t>Should spectrum management be needed for special SRD applications, the proponents would need to provide the evidence which would support extra treatment, i.e. dedicated spectrum with/without licensing;</w:t>
      </w:r>
    </w:p>
    <w:p w:rsidR="0019635F" w:rsidRPr="008F612F" w:rsidRDefault="0019635F" w:rsidP="008F612F">
      <w:pPr>
        <w:pStyle w:val="ListParagraph"/>
        <w:numPr>
          <w:ilvl w:val="0"/>
          <w:numId w:val="41"/>
        </w:numPr>
        <w:spacing w:before="60" w:line="312" w:lineRule="auto"/>
        <w:jc w:val="both"/>
        <w:rPr>
          <w:rFonts w:cs="Arial"/>
          <w:szCs w:val="20"/>
        </w:rPr>
      </w:pPr>
      <w:r w:rsidRPr="008F612F">
        <w:rPr>
          <w:rFonts w:cs="Arial"/>
          <w:szCs w:val="20"/>
        </w:rPr>
        <w:t>Review alarm bands and associated restrictions. This concerns not only alarms but also other SRD applications having similar requirements, i.e. investigate a more application neutral usage of these frequencies. It is noted that an ETSI SRDoc is in preparation. A concept could be investigated taking into account the existing and additional frequencies for alarms and applications having similar requirements. In addition, a solution for grouping of the frequencies from 868 MHz to 869.2 MHz may need to be investigated in this context. The change of the &lt;&lt;noise environment&gt;&gt; may also have some influence;</w:t>
      </w:r>
    </w:p>
    <w:p w:rsidR="0019635F" w:rsidRPr="008F612F" w:rsidRDefault="0019635F" w:rsidP="008F612F">
      <w:pPr>
        <w:pStyle w:val="ListParagraph"/>
        <w:numPr>
          <w:ilvl w:val="0"/>
          <w:numId w:val="41"/>
        </w:numPr>
        <w:spacing w:before="60" w:line="312" w:lineRule="auto"/>
        <w:jc w:val="both"/>
        <w:rPr>
          <w:rFonts w:cs="Arial"/>
          <w:szCs w:val="20"/>
        </w:rPr>
      </w:pPr>
      <w:r w:rsidRPr="008F612F">
        <w:rPr>
          <w:rFonts w:cs="Arial"/>
          <w:szCs w:val="20"/>
        </w:rPr>
        <w:t xml:space="preserve">Input from the WG FM workshop showed that there are many applications using extreme low duty cycles. A review of the low duty cycle, also in combination with the transmitter activity factor and/or </w:t>
      </w:r>
      <w:r w:rsidRPr="008F612F">
        <w:rPr>
          <w:rFonts w:cs="Arial"/>
          <w:szCs w:val="20"/>
        </w:rPr>
        <w:lastRenderedPageBreak/>
        <w:t>instantaneous duty cycle, may open new spectrum usage opportunities for SRD applications and is therefore proposed to be studied. ETSI STF 411 is also studying this subject.</w:t>
      </w:r>
    </w:p>
    <w:p w:rsidR="0019635F" w:rsidRPr="008F612F" w:rsidRDefault="0019635F" w:rsidP="008F612F">
      <w:pPr>
        <w:pStyle w:val="ListParagraph"/>
        <w:numPr>
          <w:ilvl w:val="0"/>
          <w:numId w:val="41"/>
        </w:numPr>
        <w:spacing w:before="60" w:line="312" w:lineRule="auto"/>
        <w:jc w:val="both"/>
        <w:rPr>
          <w:rFonts w:cs="Arial"/>
          <w:szCs w:val="20"/>
        </w:rPr>
      </w:pPr>
      <w:r w:rsidRPr="008F612F">
        <w:rPr>
          <w:rFonts w:cs="Arial"/>
          <w:szCs w:val="20"/>
        </w:rPr>
        <w:t xml:space="preserve">Opportunities for combining frequency bands will need to be discussed more in detail. This can avoid “unintended band edges”. A similar statement as in the EC Decision or in </w:t>
      </w:r>
      <w:r w:rsidR="00532580" w:rsidRPr="008F612F">
        <w:rPr>
          <w:rFonts w:cs="Arial"/>
          <w:szCs w:val="20"/>
        </w:rPr>
        <w:t xml:space="preserve">ETSI </w:t>
      </w:r>
      <w:r w:rsidRPr="008F612F">
        <w:rPr>
          <w:rFonts w:cs="Arial"/>
          <w:szCs w:val="20"/>
        </w:rPr>
        <w:t>EN 300</w:t>
      </w:r>
      <w:r w:rsidR="00532580" w:rsidRPr="008F612F">
        <w:rPr>
          <w:rFonts w:cs="Arial"/>
          <w:szCs w:val="20"/>
        </w:rPr>
        <w:t xml:space="preserve"> 220 </w:t>
      </w:r>
      <w:r w:rsidR="00532580" w:rsidRPr="008F612F">
        <w:rPr>
          <w:rFonts w:cs="Arial"/>
          <w:szCs w:val="20"/>
        </w:rPr>
        <w:fldChar w:fldCharType="begin"/>
      </w:r>
      <w:r w:rsidR="00532580" w:rsidRPr="008F612F">
        <w:rPr>
          <w:rFonts w:cs="Arial"/>
          <w:szCs w:val="20"/>
        </w:rPr>
        <w:instrText xml:space="preserve"> REF _Ref321997867 \r \h  \* MERGEFORMAT </w:instrText>
      </w:r>
      <w:r w:rsidR="00532580" w:rsidRPr="008F612F">
        <w:rPr>
          <w:rFonts w:cs="Arial"/>
          <w:szCs w:val="20"/>
        </w:rPr>
      </w:r>
      <w:r w:rsidR="00532580" w:rsidRPr="008F612F">
        <w:rPr>
          <w:rFonts w:cs="Arial"/>
          <w:szCs w:val="20"/>
        </w:rPr>
        <w:fldChar w:fldCharType="separate"/>
      </w:r>
      <w:r w:rsidR="001A06A7">
        <w:rPr>
          <w:rFonts w:cs="Arial"/>
          <w:szCs w:val="20"/>
        </w:rPr>
        <w:t>[2]</w:t>
      </w:r>
      <w:r w:rsidR="00532580" w:rsidRPr="008F612F">
        <w:rPr>
          <w:rFonts w:cs="Arial"/>
          <w:szCs w:val="20"/>
        </w:rPr>
        <w:fldChar w:fldCharType="end"/>
      </w:r>
      <w:r w:rsidR="00532580" w:rsidRPr="008F612F">
        <w:rPr>
          <w:rFonts w:cs="Arial"/>
          <w:szCs w:val="20"/>
        </w:rPr>
        <w:t xml:space="preserve"> could be introduced to ERC/</w:t>
      </w:r>
      <w:r w:rsidRPr="008F612F">
        <w:rPr>
          <w:rFonts w:cs="Arial"/>
          <w:szCs w:val="20"/>
        </w:rPr>
        <w:t>REC 70-03</w:t>
      </w:r>
      <w:r w:rsidR="00532580" w:rsidRPr="008F612F">
        <w:rPr>
          <w:rFonts w:cs="Arial"/>
          <w:szCs w:val="20"/>
        </w:rPr>
        <w:t xml:space="preserve"> </w:t>
      </w:r>
      <w:r w:rsidR="00532580" w:rsidRPr="008F612F">
        <w:rPr>
          <w:rFonts w:cs="Arial"/>
          <w:szCs w:val="20"/>
        </w:rPr>
        <w:fldChar w:fldCharType="begin"/>
      </w:r>
      <w:r w:rsidR="00532580" w:rsidRPr="008F612F">
        <w:rPr>
          <w:rFonts w:cs="Arial"/>
          <w:szCs w:val="20"/>
        </w:rPr>
        <w:instrText xml:space="preserve"> REF _Ref321997834 \r \h  \* MERGEFORMAT </w:instrText>
      </w:r>
      <w:r w:rsidR="00532580" w:rsidRPr="008F612F">
        <w:rPr>
          <w:rFonts w:cs="Arial"/>
          <w:szCs w:val="20"/>
        </w:rPr>
      </w:r>
      <w:r w:rsidR="00532580" w:rsidRPr="008F612F">
        <w:rPr>
          <w:rFonts w:cs="Arial"/>
          <w:szCs w:val="20"/>
        </w:rPr>
        <w:fldChar w:fldCharType="separate"/>
      </w:r>
      <w:r w:rsidR="001A06A7">
        <w:rPr>
          <w:rFonts w:cs="Arial"/>
          <w:szCs w:val="20"/>
        </w:rPr>
        <w:t>[1]</w:t>
      </w:r>
      <w:r w:rsidR="00532580" w:rsidRPr="008F612F">
        <w:rPr>
          <w:rFonts w:cs="Arial"/>
          <w:szCs w:val="20"/>
        </w:rPr>
        <w:fldChar w:fldCharType="end"/>
      </w:r>
      <w:r w:rsidRPr="008F612F">
        <w:rPr>
          <w:rFonts w:cs="Arial"/>
          <w:szCs w:val="20"/>
        </w:rPr>
        <w:t xml:space="preserve"> with the meaning that SRDs could use adjacent bands provided that the specific conditions of each of the adjacent frequency bands are met.</w:t>
      </w:r>
    </w:p>
    <w:p w:rsidR="0019635F" w:rsidRPr="00532580" w:rsidRDefault="0019635F" w:rsidP="0019635F">
      <w:pPr>
        <w:spacing w:before="60" w:line="312" w:lineRule="auto"/>
        <w:jc w:val="both"/>
        <w:rPr>
          <w:rFonts w:cs="Arial"/>
          <w:szCs w:val="20"/>
        </w:rPr>
      </w:pPr>
      <w:r w:rsidRPr="00532580">
        <w:rPr>
          <w:rFonts w:cs="Arial"/>
          <w:szCs w:val="20"/>
        </w:rPr>
        <w:t>Overall, these assessments were considered in line with the activities under the UHF roadmap and also principles to follow when considering the 5th update of the technical annex of the EC Decision for SRD.</w:t>
      </w:r>
    </w:p>
    <w:p w:rsidR="009E51D5" w:rsidRPr="00D00317" w:rsidRDefault="009E51D5" w:rsidP="009E51D5">
      <w:pPr>
        <w:pStyle w:val="ECCParagraph"/>
      </w:pPr>
    </w:p>
    <w:p w:rsidR="009E51D5" w:rsidRPr="00D00317" w:rsidRDefault="009E51D5" w:rsidP="009E51D5">
      <w:pPr>
        <w:rPr>
          <w:lang w:val="en-GB"/>
        </w:rPr>
        <w:sectPr w:rsidR="009E51D5" w:rsidRPr="00D00317">
          <w:headerReference w:type="even" r:id="rId34"/>
          <w:headerReference w:type="default" r:id="rId35"/>
          <w:headerReference w:type="first" r:id="rId36"/>
          <w:pgSz w:w="11907" w:h="16840" w:code="9"/>
          <w:pgMar w:top="1440" w:right="1134" w:bottom="1440" w:left="1134" w:header="709" w:footer="709" w:gutter="0"/>
          <w:cols w:space="708"/>
          <w:docGrid w:linePitch="360"/>
        </w:sectPr>
      </w:pPr>
    </w:p>
    <w:p w:rsidR="009E51D5" w:rsidRPr="009E51D5" w:rsidRDefault="009E51D5" w:rsidP="00A472B6">
      <w:pPr>
        <w:pStyle w:val="ECCAnnexheading1"/>
      </w:pPr>
      <w:bookmarkStart w:id="13" w:name="_Toc311472695"/>
      <w:bookmarkStart w:id="14" w:name="_Toc323545848"/>
      <w:r w:rsidRPr="009E51D5">
        <w:lastRenderedPageBreak/>
        <w:t>List of reference</w:t>
      </w:r>
      <w:bookmarkEnd w:id="13"/>
      <w:bookmarkEnd w:id="14"/>
    </w:p>
    <w:p w:rsidR="00077796" w:rsidRPr="00077796" w:rsidRDefault="00DD1D4B" w:rsidP="00077796">
      <w:pPr>
        <w:pStyle w:val="reference"/>
        <w:numPr>
          <w:ilvl w:val="0"/>
          <w:numId w:val="7"/>
        </w:numPr>
        <w:spacing w:after="240"/>
        <w:rPr>
          <w:lang w:val="en-GB"/>
        </w:rPr>
      </w:pPr>
      <w:bookmarkStart w:id="15" w:name="_Ref321997834"/>
      <w:r w:rsidRPr="00077796">
        <w:rPr>
          <w:lang w:val="en-GB"/>
        </w:rPr>
        <w:t>ERC/REC 70-03:</w:t>
      </w:r>
      <w:bookmarkEnd w:id="15"/>
      <w:r w:rsidR="00077796" w:rsidRPr="00077796">
        <w:rPr>
          <w:lang w:val="en-GB"/>
        </w:rPr>
        <w:t xml:space="preserve"> RELATING TO THE USE OF SHORT RANGE DEVICES (SRD)</w:t>
      </w:r>
      <w:r w:rsidR="00004B1A">
        <w:rPr>
          <w:lang w:val="en-GB"/>
        </w:rPr>
        <w:t>;</w:t>
      </w:r>
    </w:p>
    <w:p w:rsidR="009E51D5" w:rsidRPr="00077796" w:rsidRDefault="00DD1D4B" w:rsidP="00077796">
      <w:pPr>
        <w:pStyle w:val="reference"/>
        <w:numPr>
          <w:ilvl w:val="0"/>
          <w:numId w:val="7"/>
        </w:numPr>
        <w:spacing w:after="240"/>
        <w:rPr>
          <w:lang w:val="en-GB"/>
        </w:rPr>
      </w:pPr>
      <w:bookmarkStart w:id="16" w:name="_Ref321997867"/>
      <w:r w:rsidRPr="00077796">
        <w:rPr>
          <w:lang w:val="en-GB"/>
        </w:rPr>
        <w:t>ETSI EN 300 220</w:t>
      </w:r>
      <w:bookmarkEnd w:id="16"/>
      <w:r w:rsidR="00077796" w:rsidRPr="00077796">
        <w:rPr>
          <w:lang w:val="en-GB"/>
        </w:rPr>
        <w:t>: Electromagnetic compatibility and Radio spectrum Matters (ERM); Short Range Devices (SRD); Radio equipment to be used in the 25 MHz to 1 000 MHz frequency range with power levels ranging up to 500 mW</w:t>
      </w:r>
      <w:r w:rsidR="00004B1A">
        <w:rPr>
          <w:lang w:val="en-GB"/>
        </w:rPr>
        <w:t>;</w:t>
      </w:r>
    </w:p>
    <w:p w:rsidR="009E51D5" w:rsidRPr="00004B1A" w:rsidRDefault="00DD1D4B" w:rsidP="00004B1A">
      <w:pPr>
        <w:pStyle w:val="reference"/>
      </w:pPr>
      <w:bookmarkStart w:id="17" w:name="_Ref321998170"/>
      <w:r>
        <w:rPr>
          <w:lang w:val="en-GB"/>
        </w:rPr>
        <w:t>ETSI STF411</w:t>
      </w:r>
      <w:bookmarkEnd w:id="17"/>
      <w:r w:rsidR="00077796">
        <w:rPr>
          <w:lang w:val="en-GB"/>
        </w:rPr>
        <w:t xml:space="preserve">: ETSI Special Task Force </w:t>
      </w:r>
      <w:r w:rsidR="00004B1A">
        <w:rPr>
          <w:lang w:val="en-GB"/>
        </w:rPr>
        <w:t xml:space="preserve">STF411: </w:t>
      </w:r>
      <w:r w:rsidR="00004B1A" w:rsidRPr="00004B1A">
        <w:rPr>
          <w:lang w:val="en-GB"/>
        </w:rPr>
        <w:t>Method for a harmonized definition of Low Duty Cycle Transmission (LDC) as a passive mitigation technique used by</w:t>
      </w:r>
      <w:r w:rsidR="00004B1A">
        <w:rPr>
          <w:lang w:val="en-GB"/>
        </w:rPr>
        <w:t xml:space="preserve"> SRDs;</w:t>
      </w:r>
    </w:p>
    <w:p w:rsidR="00004B1A" w:rsidRPr="00DD1D4B" w:rsidRDefault="00004B1A" w:rsidP="00004B1A">
      <w:pPr>
        <w:pStyle w:val="reference"/>
        <w:numPr>
          <w:ilvl w:val="0"/>
          <w:numId w:val="0"/>
        </w:numPr>
        <w:ind w:left="397" w:hanging="397"/>
      </w:pPr>
    </w:p>
    <w:p w:rsidR="00DD1D4B" w:rsidRPr="00004B1A" w:rsidRDefault="00DD1D4B" w:rsidP="00004B1A">
      <w:pPr>
        <w:pStyle w:val="reference"/>
      </w:pPr>
      <w:bookmarkStart w:id="18" w:name="_Ref321998023"/>
      <w:r w:rsidRPr="00004B1A">
        <w:rPr>
          <w:lang w:val="en-GB"/>
        </w:rPr>
        <w:t>ETSI EN 302 208</w:t>
      </w:r>
      <w:bookmarkEnd w:id="18"/>
      <w:r w:rsidR="00004B1A" w:rsidRPr="00004B1A">
        <w:rPr>
          <w:lang w:val="en-GB"/>
        </w:rPr>
        <w:t>: Electromagnetic compatibility and Radio spectrum Matters (ERM); Radio Frequency Identification Equipment operating in the band 865 MHz to 868 MHz with power levels up to 2 W</w:t>
      </w:r>
    </w:p>
    <w:p w:rsidR="00004B1A" w:rsidRDefault="00004B1A" w:rsidP="00004B1A">
      <w:pPr>
        <w:pStyle w:val="ListParagraph"/>
      </w:pPr>
    </w:p>
    <w:p w:rsidR="00DD1D4B" w:rsidRPr="00004B1A" w:rsidRDefault="00DD1D4B" w:rsidP="00004B1A">
      <w:pPr>
        <w:pStyle w:val="reference"/>
      </w:pPr>
      <w:bookmarkStart w:id="19" w:name="_Ref321998033"/>
      <w:r>
        <w:rPr>
          <w:lang w:val="en-GB"/>
        </w:rPr>
        <w:t>ISO 18000-6C</w:t>
      </w:r>
      <w:bookmarkEnd w:id="19"/>
      <w:r w:rsidR="00004B1A">
        <w:rPr>
          <w:lang w:val="en-GB"/>
        </w:rPr>
        <w:t xml:space="preserve">: </w:t>
      </w:r>
      <w:r w:rsidR="00004B1A" w:rsidRPr="00004B1A">
        <w:rPr>
          <w:lang w:val="en-GB"/>
        </w:rPr>
        <w:t>Information technology -- Radio frequency identification for item management -- Part 6: Parameters for air interface communications at 860 MHz to 960 MHz</w:t>
      </w:r>
    </w:p>
    <w:p w:rsidR="00004B1A" w:rsidRDefault="00004B1A" w:rsidP="00004B1A">
      <w:pPr>
        <w:pStyle w:val="ListParagraph"/>
      </w:pPr>
    </w:p>
    <w:p w:rsidR="00DD1D4B" w:rsidRPr="00004B1A" w:rsidRDefault="00DD1D4B" w:rsidP="00004B1A">
      <w:pPr>
        <w:pStyle w:val="reference"/>
      </w:pPr>
      <w:r w:rsidRPr="00004B1A">
        <w:rPr>
          <w:lang w:val="en-GB"/>
        </w:rPr>
        <w:t>Machinery Directive (2006/42/EC)</w:t>
      </w:r>
      <w:r w:rsidR="00004B1A" w:rsidRPr="00004B1A">
        <w:rPr>
          <w:lang w:val="en-GB"/>
        </w:rPr>
        <w:t>: Mechanical engineering on machinery</w:t>
      </w:r>
    </w:p>
    <w:p w:rsidR="00004B1A" w:rsidRDefault="00004B1A" w:rsidP="00004B1A">
      <w:pPr>
        <w:pStyle w:val="ListParagraph"/>
      </w:pPr>
    </w:p>
    <w:p w:rsidR="00DD1D4B" w:rsidRPr="00D00317" w:rsidRDefault="00077796" w:rsidP="009E51D5">
      <w:pPr>
        <w:pStyle w:val="reference"/>
        <w:spacing w:after="240"/>
      </w:pPr>
      <w:r w:rsidRPr="00077796">
        <w:rPr>
          <w:lang w:val="en-GB"/>
        </w:rPr>
        <w:t xml:space="preserve">Cenelec </w:t>
      </w:r>
      <w:r w:rsidR="00DD1D4B" w:rsidRPr="00077796">
        <w:rPr>
          <w:lang w:val="en-GB"/>
        </w:rPr>
        <w:t>EN 13757-4</w:t>
      </w:r>
      <w:r w:rsidRPr="00077796">
        <w:rPr>
          <w:lang w:val="en-GB"/>
        </w:rPr>
        <w:t>: Communication systems for meters and remote reading of meters - Part 4: Wireless meter readout (Radio meter reading for operation in the 868 MHz to 870 MHz SRD band)</w:t>
      </w:r>
    </w:p>
    <w:tbl>
      <w:tblPr>
        <w:tblW w:w="0" w:type="auto"/>
        <w:tblCellMar>
          <w:top w:w="11" w:type="dxa"/>
          <w:bottom w:w="11" w:type="dxa"/>
        </w:tblCellMar>
        <w:tblLook w:val="01E0" w:firstRow="1" w:lastRow="1" w:firstColumn="1" w:lastColumn="1" w:noHBand="0" w:noVBand="0"/>
      </w:tblPr>
      <w:tblGrid>
        <w:gridCol w:w="2088"/>
        <w:gridCol w:w="7767"/>
      </w:tblGrid>
      <w:tr w:rsidR="008A54FC">
        <w:tc>
          <w:tcPr>
            <w:tcW w:w="2088" w:type="dxa"/>
          </w:tcPr>
          <w:p w:rsidR="008A54FC" w:rsidRDefault="008A54FC" w:rsidP="009E51D5"/>
        </w:tc>
        <w:tc>
          <w:tcPr>
            <w:tcW w:w="7767" w:type="dxa"/>
          </w:tcPr>
          <w:p w:rsidR="008A54FC" w:rsidRDefault="008A54FC" w:rsidP="008A54FC">
            <w:pPr>
              <w:spacing w:line="288" w:lineRule="auto"/>
            </w:pPr>
          </w:p>
        </w:tc>
      </w:tr>
    </w:tbl>
    <w:p w:rsidR="008A54FC" w:rsidRDefault="008A54FC" w:rsidP="009E51D5">
      <w:pPr>
        <w:pStyle w:val="ECCParagraph"/>
        <w:rPr>
          <w:lang w:val="en-US"/>
        </w:rPr>
      </w:pPr>
    </w:p>
    <w:sectPr w:rsidR="008A54FC" w:rsidSect="008A54FC">
      <w:headerReference w:type="even" r:id="rId37"/>
      <w:headerReference w:type="default" r:id="rId38"/>
      <w:headerReference w:type="first" r:id="rId39"/>
      <w:pgSz w:w="11907" w:h="16840" w:code="9"/>
      <w:pgMar w:top="1440" w:right="1134" w:bottom="1440"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612F" w:rsidRDefault="008F612F" w:rsidP="008A54FC">
      <w:r>
        <w:separator/>
      </w:r>
    </w:p>
  </w:endnote>
  <w:endnote w:type="continuationSeparator" w:id="0">
    <w:p w:rsidR="008F612F" w:rsidRDefault="008F612F" w:rsidP="008A5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old">
    <w:panose1 w:val="00000000000000000000"/>
    <w:charset w:val="00"/>
    <w:family w:val="roman"/>
    <w:notTrueType/>
    <w:pitch w:val="default"/>
  </w:font>
  <w:font w:name="Lucida Grande">
    <w:altName w:val="Times New Roman"/>
    <w:charset w:val="00"/>
    <w:family w:val="auto"/>
    <w:pitch w:val="variable"/>
    <w:sig w:usb0="00000000"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612F" w:rsidRDefault="008F612F" w:rsidP="008A54FC">
      <w:r>
        <w:separator/>
      </w:r>
    </w:p>
  </w:footnote>
  <w:footnote w:type="continuationSeparator" w:id="0">
    <w:p w:rsidR="008F612F" w:rsidRDefault="008F612F" w:rsidP="008A54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12F" w:rsidRPr="007C5F95" w:rsidRDefault="008F612F">
    <w:pPr>
      <w:pStyle w:val="Header"/>
      <w:rPr>
        <w:b w:val="0"/>
        <w:lang w:val="da-DK"/>
      </w:rPr>
    </w:pPr>
    <w:r w:rsidRPr="007C5F95">
      <w:rPr>
        <w:b w:val="0"/>
        <w:lang w:val="da-DK"/>
      </w:rPr>
      <w:t>Draft ECC REPORT XXX</w:t>
    </w:r>
  </w:p>
  <w:p w:rsidR="008F612F" w:rsidRPr="007C5F95" w:rsidRDefault="008F612F">
    <w:pPr>
      <w:pStyle w:val="Header"/>
      <w:rPr>
        <w:szCs w:val="16"/>
        <w:lang w:val="da-DK"/>
      </w:rPr>
    </w:pPr>
    <w:r>
      <w:rPr>
        <w:szCs w:val="16"/>
        <w:lang w:val="da-DK"/>
      </w:rPr>
      <w:t xml:space="preserve">Page </w:t>
    </w:r>
    <w:r>
      <w:fldChar w:fldCharType="begin"/>
    </w:r>
    <w:r>
      <w:instrText xml:space="preserve"> PAGE  \* Arabic  \* MERGEFORMAT </w:instrText>
    </w:r>
    <w:r>
      <w:fldChar w:fldCharType="separate"/>
    </w:r>
    <w:r>
      <w:rPr>
        <w:noProof/>
        <w:szCs w:val="16"/>
        <w:lang w:val="da-DK"/>
      </w:rPr>
      <w:t>2</w:t>
    </w:r>
    <w:r>
      <w:rPr>
        <w:noProof/>
        <w:szCs w:val="16"/>
        <w:lang w:val="da-DK"/>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12F" w:rsidRPr="007C5F95" w:rsidRDefault="008F612F" w:rsidP="008A54FC">
    <w:pPr>
      <w:pStyle w:val="Header"/>
      <w:jc w:val="right"/>
      <w:rPr>
        <w:b w:val="0"/>
        <w:lang w:val="da-DK"/>
      </w:rPr>
    </w:pPr>
    <w:r w:rsidRPr="007C5F95">
      <w:rPr>
        <w:b w:val="0"/>
        <w:lang w:val="da-DK"/>
      </w:rPr>
      <w:t>Draft ECC REPORT XXX</w:t>
    </w:r>
  </w:p>
  <w:p w:rsidR="008F612F" w:rsidRPr="007C5F95" w:rsidRDefault="008F612F" w:rsidP="008A54FC">
    <w:pPr>
      <w:pStyle w:val="Header"/>
      <w:jc w:val="right"/>
      <w:rPr>
        <w:szCs w:val="16"/>
        <w:lang w:val="da-DK"/>
      </w:rPr>
    </w:pPr>
    <w:r>
      <w:rPr>
        <w:szCs w:val="16"/>
        <w:lang w:val="da-DK"/>
      </w:rPr>
      <w:t xml:space="preserve">Page </w:t>
    </w:r>
    <w:r>
      <w:fldChar w:fldCharType="begin"/>
    </w:r>
    <w:r>
      <w:instrText xml:space="preserve"> PAGE  \* Arabic  \* MERGEFORMAT </w:instrText>
    </w:r>
    <w:r>
      <w:fldChar w:fldCharType="separate"/>
    </w:r>
    <w:r>
      <w:rPr>
        <w:noProof/>
        <w:szCs w:val="16"/>
        <w:lang w:val="da-DK"/>
      </w:rPr>
      <w:t>3</w:t>
    </w:r>
    <w:r>
      <w:rPr>
        <w:noProof/>
        <w:szCs w:val="16"/>
        <w:lang w:val="da-DK"/>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12F" w:rsidRDefault="008F612F">
    <w:pPr>
      <w:pStyle w:val="Header"/>
    </w:pPr>
    <w:r>
      <w:rPr>
        <w:noProof/>
        <w:szCs w:val="20"/>
        <w:lang w:val="da-DK" w:eastAsia="da-DK"/>
      </w:rPr>
      <w:drawing>
        <wp:anchor distT="0" distB="0" distL="114300" distR="114300" simplePos="0" relativeHeight="251658240" behindDoc="0" locked="0" layoutInCell="1" allowOverlap="1" wp14:anchorId="3ABCF529" wp14:editId="7E15F3AB">
          <wp:simplePos x="0" y="0"/>
          <wp:positionH relativeFrom="page">
            <wp:posOffset>5717540</wp:posOffset>
          </wp:positionH>
          <wp:positionV relativeFrom="page">
            <wp:posOffset>648335</wp:posOffset>
          </wp:positionV>
          <wp:extent cx="1461770" cy="546100"/>
          <wp:effectExtent l="25400" t="0" r="11430" b="0"/>
          <wp:wrapNone/>
          <wp:docPr id="2" name="Picture 2" descr="ecc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cc_logo"/>
                  <pic:cNvPicPr>
                    <a:picLocks noChangeAspect="1" noChangeArrowheads="1"/>
                  </pic:cNvPicPr>
                </pic:nvPicPr>
                <pic:blipFill>
                  <a:blip r:embed="rId1"/>
                  <a:srcRect/>
                  <a:stretch>
                    <a:fillRect/>
                  </a:stretch>
                </pic:blipFill>
                <pic:spPr bwMode="auto">
                  <a:xfrm>
                    <a:off x="0" y="0"/>
                    <a:ext cx="1461770" cy="546100"/>
                  </a:xfrm>
                  <a:prstGeom prst="rect">
                    <a:avLst/>
                  </a:prstGeom>
                  <a:noFill/>
                </pic:spPr>
              </pic:pic>
            </a:graphicData>
          </a:graphic>
        </wp:anchor>
      </w:drawing>
    </w:r>
    <w:r>
      <w:rPr>
        <w:noProof/>
        <w:szCs w:val="20"/>
        <w:lang w:val="da-DK" w:eastAsia="da-DK"/>
      </w:rPr>
      <w:drawing>
        <wp:anchor distT="0" distB="0" distL="114300" distR="114300" simplePos="0" relativeHeight="251657216" behindDoc="0" locked="0" layoutInCell="1" allowOverlap="1" wp14:anchorId="2B31D5CB" wp14:editId="31E38B2A">
          <wp:simplePos x="0" y="0"/>
          <wp:positionH relativeFrom="page">
            <wp:posOffset>572770</wp:posOffset>
          </wp:positionH>
          <wp:positionV relativeFrom="page">
            <wp:posOffset>457200</wp:posOffset>
          </wp:positionV>
          <wp:extent cx="889000" cy="889000"/>
          <wp:effectExtent l="25400" t="0" r="0" b="0"/>
          <wp:wrapNone/>
          <wp:docPr id="1" name="Picture 1" descr="cep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pt logo"/>
                  <pic:cNvPicPr>
                    <a:picLocks noChangeAspect="1" noChangeArrowheads="1"/>
                  </pic:cNvPicPr>
                </pic:nvPicPr>
                <pic:blipFill>
                  <a:blip r:embed="rId2"/>
                  <a:srcRect/>
                  <a:stretch>
                    <a:fillRect/>
                  </a:stretch>
                </pic:blipFill>
                <pic:spPr bwMode="auto">
                  <a:xfrm>
                    <a:off x="0" y="0"/>
                    <a:ext cx="889000" cy="889000"/>
                  </a:xfrm>
                  <a:prstGeom prst="rect">
                    <a:avLst/>
                  </a:prstGeom>
                  <a:noFill/>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12F" w:rsidRPr="007C5F95" w:rsidRDefault="008F612F">
    <w:pPr>
      <w:pStyle w:val="Header"/>
      <w:rPr>
        <w:szCs w:val="16"/>
        <w:lang w:val="da-DK"/>
      </w:rPr>
    </w:pPr>
    <w:r>
      <w:rPr>
        <w:lang w:val="da-DK"/>
      </w:rPr>
      <w:t>ECC</w:t>
    </w:r>
    <w:r w:rsidRPr="007C5F95">
      <w:rPr>
        <w:lang w:val="da-DK"/>
      </w:rPr>
      <w:t xml:space="preserve"> REPORT </w:t>
    </w:r>
    <w:r>
      <w:rPr>
        <w:lang w:val="da-DK"/>
      </w:rPr>
      <w:t>182</w:t>
    </w:r>
    <w:r w:rsidRPr="007C5F95">
      <w:rPr>
        <w:lang w:val="da-DK"/>
      </w:rPr>
      <w:t xml:space="preserve"> </w:t>
    </w:r>
    <w:r>
      <w:rPr>
        <w:lang w:val="da-DK"/>
      </w:rPr>
      <w:t xml:space="preserve">– </w:t>
    </w:r>
    <w:r>
      <w:rPr>
        <w:szCs w:val="16"/>
        <w:lang w:val="da-DK"/>
      </w:rPr>
      <w:t xml:space="preserve">Page </w:t>
    </w:r>
    <w:r>
      <w:fldChar w:fldCharType="begin"/>
    </w:r>
    <w:r>
      <w:instrText xml:space="preserve"> PAGE  \* Arabic  \* MERGEFORMAT </w:instrText>
    </w:r>
    <w:r>
      <w:fldChar w:fldCharType="separate"/>
    </w:r>
    <w:r w:rsidR="00F26FB4" w:rsidRPr="00F26FB4">
      <w:rPr>
        <w:noProof/>
        <w:szCs w:val="16"/>
        <w:lang w:val="da-DK"/>
      </w:rPr>
      <w:t>12</w:t>
    </w:r>
    <w:r>
      <w:rPr>
        <w:noProof/>
        <w:szCs w:val="16"/>
        <w:lang w:val="da-DK"/>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12F" w:rsidRPr="007C5F95" w:rsidRDefault="008F612F" w:rsidP="008A54FC">
    <w:pPr>
      <w:pStyle w:val="Header"/>
      <w:jc w:val="right"/>
      <w:rPr>
        <w:szCs w:val="16"/>
        <w:lang w:val="da-DK"/>
      </w:rPr>
    </w:pPr>
    <w:r>
      <w:rPr>
        <w:lang w:val="da-DK"/>
      </w:rPr>
      <w:t xml:space="preserve">ECC REPORT 182 – </w:t>
    </w:r>
    <w:r>
      <w:rPr>
        <w:szCs w:val="16"/>
        <w:lang w:val="da-DK"/>
      </w:rPr>
      <w:t xml:space="preserve">Page </w:t>
    </w:r>
    <w:r>
      <w:fldChar w:fldCharType="begin"/>
    </w:r>
    <w:r>
      <w:instrText xml:space="preserve"> PAGE  \* Arabic  \* MERGEFORMAT </w:instrText>
    </w:r>
    <w:r>
      <w:fldChar w:fldCharType="separate"/>
    </w:r>
    <w:r w:rsidR="00F26FB4" w:rsidRPr="00F26FB4">
      <w:rPr>
        <w:noProof/>
        <w:szCs w:val="16"/>
        <w:lang w:val="da-DK"/>
      </w:rPr>
      <w:t>11</w:t>
    </w:r>
    <w:r>
      <w:rPr>
        <w:noProof/>
        <w:szCs w:val="16"/>
        <w:lang w:val="da-DK"/>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12F" w:rsidRPr="001223D0" w:rsidRDefault="008F612F" w:rsidP="008A54FC">
    <w:pPr>
      <w:pStyle w:val="Header"/>
      <w:rPr>
        <w:szCs w:val="16"/>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12F" w:rsidRPr="007C5F95" w:rsidRDefault="008F612F">
    <w:pPr>
      <w:pStyle w:val="Header"/>
      <w:rPr>
        <w:szCs w:val="16"/>
        <w:lang w:val="da-DK"/>
      </w:rPr>
    </w:pPr>
    <w:r w:rsidRPr="007C5F95">
      <w:rPr>
        <w:lang w:val="da-DK"/>
      </w:rPr>
      <w:t xml:space="preserve">ECC REPORT (no.) </w:t>
    </w:r>
    <w:r>
      <w:rPr>
        <w:szCs w:val="16"/>
        <w:lang w:val="da-DK"/>
      </w:rPr>
      <w:t xml:space="preserve">Page </w:t>
    </w:r>
    <w:r>
      <w:fldChar w:fldCharType="begin"/>
    </w:r>
    <w:r>
      <w:instrText xml:space="preserve"> PAGE  \* Arabic  \* MERGEFORMAT </w:instrText>
    </w:r>
    <w:r>
      <w:fldChar w:fldCharType="separate"/>
    </w:r>
    <w:r w:rsidRPr="00077796">
      <w:rPr>
        <w:noProof/>
        <w:szCs w:val="16"/>
        <w:lang w:val="da-DK"/>
      </w:rPr>
      <w:t>34</w:t>
    </w:r>
    <w:r>
      <w:rPr>
        <w:noProof/>
        <w:szCs w:val="16"/>
        <w:lang w:val="da-DK"/>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12F" w:rsidRPr="007C5F95" w:rsidRDefault="008F612F" w:rsidP="008A54FC">
    <w:pPr>
      <w:pStyle w:val="Header"/>
      <w:jc w:val="right"/>
      <w:rPr>
        <w:szCs w:val="16"/>
        <w:lang w:val="da-DK"/>
      </w:rPr>
    </w:pPr>
    <w:r w:rsidRPr="007C5F95">
      <w:rPr>
        <w:lang w:val="da-DK"/>
      </w:rPr>
      <w:t xml:space="preserve">ECC REPORT </w:t>
    </w:r>
    <w:r>
      <w:rPr>
        <w:lang w:val="da-DK"/>
      </w:rPr>
      <w:t>182</w:t>
    </w:r>
    <w:r w:rsidRPr="007C5F95">
      <w:rPr>
        <w:lang w:val="da-DK"/>
      </w:rPr>
      <w:t xml:space="preserve">) </w:t>
    </w:r>
    <w:r>
      <w:rPr>
        <w:szCs w:val="16"/>
        <w:lang w:val="da-DK"/>
      </w:rPr>
      <w:t xml:space="preserve">Page </w:t>
    </w:r>
    <w:r>
      <w:fldChar w:fldCharType="begin"/>
    </w:r>
    <w:r>
      <w:instrText xml:space="preserve"> PAGE  \* Arabic  \* MERGEFORMAT </w:instrText>
    </w:r>
    <w:r>
      <w:fldChar w:fldCharType="separate"/>
    </w:r>
    <w:r w:rsidR="00F26FB4" w:rsidRPr="00F26FB4">
      <w:rPr>
        <w:noProof/>
        <w:szCs w:val="16"/>
        <w:lang w:val="da-DK"/>
      </w:rPr>
      <w:t>33</w:t>
    </w:r>
    <w:r>
      <w:rPr>
        <w:noProof/>
        <w:szCs w:val="16"/>
        <w:lang w:val="da-DK"/>
      </w:rP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12F" w:rsidRPr="001223D0" w:rsidRDefault="008F612F" w:rsidP="008A54FC">
    <w:pPr>
      <w:pStyle w:val="Header"/>
      <w:rPr>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46D82"/>
    <w:multiLevelType w:val="hybridMultilevel"/>
    <w:tmpl w:val="B5981F1C"/>
    <w:lvl w:ilvl="0" w:tplc="73C4B67C">
      <w:start w:val="1"/>
      <w:numFmt w:val="bullet"/>
      <w:lvlText w:val=""/>
      <w:lvlJc w:val="left"/>
      <w:pPr>
        <w:ind w:left="720" w:hanging="360"/>
      </w:pPr>
      <w:rPr>
        <w:rFonts w:ascii="Symbol" w:hAnsi="Symbol" w:hint="default"/>
        <w:color w:val="C00000"/>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
    <w:nsid w:val="10D86E4F"/>
    <w:multiLevelType w:val="hybridMultilevel"/>
    <w:tmpl w:val="47563088"/>
    <w:lvl w:ilvl="0" w:tplc="04190005">
      <w:start w:val="1"/>
      <w:numFmt w:val="bullet"/>
      <w:lvlText w:val=""/>
      <w:lvlJc w:val="left"/>
      <w:pPr>
        <w:tabs>
          <w:tab w:val="num" w:pos="360"/>
        </w:tabs>
        <w:ind w:left="360" w:hanging="360"/>
      </w:pPr>
      <w:rPr>
        <w:rFonts w:ascii="Wingdings" w:hAnsi="Wingdings" w:hint="default"/>
        <w:b w:val="0"/>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rPr>
    </w:lvl>
    <w:lvl w:ilvl="1" w:tplc="04190019">
      <w:start w:val="1"/>
      <w:numFmt w:val="bullet"/>
      <w:lvlText w:val=""/>
      <w:lvlJc w:val="left"/>
      <w:pPr>
        <w:tabs>
          <w:tab w:val="num" w:pos="6156"/>
        </w:tabs>
        <w:ind w:left="6156" w:hanging="360"/>
      </w:pPr>
      <w:rPr>
        <w:rFonts w:ascii="Symbol" w:hAnsi="Symbol" w:hint="default"/>
        <w:b w:val="0"/>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rPr>
    </w:lvl>
    <w:lvl w:ilvl="2" w:tplc="0419001B">
      <w:numFmt w:val="bullet"/>
      <w:lvlText w:val="-"/>
      <w:lvlJc w:val="left"/>
      <w:pPr>
        <w:tabs>
          <w:tab w:val="num" w:pos="7056"/>
        </w:tabs>
        <w:ind w:left="7056" w:hanging="360"/>
      </w:pPr>
      <w:rPr>
        <w:rFonts w:ascii="Arial" w:eastAsia="Times New Roman" w:hAnsi="Arial" w:cs="Arial" w:hint="default"/>
      </w:rPr>
    </w:lvl>
    <w:lvl w:ilvl="3" w:tplc="0419000F">
      <w:start w:val="1"/>
      <w:numFmt w:val="decimal"/>
      <w:lvlText w:val="%4."/>
      <w:lvlJc w:val="left"/>
      <w:pPr>
        <w:tabs>
          <w:tab w:val="num" w:pos="7596"/>
        </w:tabs>
        <w:ind w:left="7596" w:hanging="360"/>
      </w:pPr>
    </w:lvl>
    <w:lvl w:ilvl="4" w:tplc="04190019">
      <w:start w:val="1"/>
      <w:numFmt w:val="lowerLetter"/>
      <w:lvlText w:val="%5."/>
      <w:lvlJc w:val="left"/>
      <w:pPr>
        <w:tabs>
          <w:tab w:val="num" w:pos="8316"/>
        </w:tabs>
        <w:ind w:left="8316" w:hanging="360"/>
      </w:pPr>
    </w:lvl>
    <w:lvl w:ilvl="5" w:tplc="0419001B">
      <w:start w:val="1"/>
      <w:numFmt w:val="lowerRoman"/>
      <w:lvlText w:val="%6."/>
      <w:lvlJc w:val="right"/>
      <w:pPr>
        <w:tabs>
          <w:tab w:val="num" w:pos="9036"/>
        </w:tabs>
        <w:ind w:left="9036" w:hanging="180"/>
      </w:pPr>
    </w:lvl>
    <w:lvl w:ilvl="6" w:tplc="0419000F">
      <w:start w:val="1"/>
      <w:numFmt w:val="decimal"/>
      <w:lvlText w:val="%7."/>
      <w:lvlJc w:val="left"/>
      <w:pPr>
        <w:tabs>
          <w:tab w:val="num" w:pos="9756"/>
        </w:tabs>
        <w:ind w:left="9756" w:hanging="360"/>
      </w:pPr>
    </w:lvl>
    <w:lvl w:ilvl="7" w:tplc="04190019">
      <w:start w:val="1"/>
      <w:numFmt w:val="lowerLetter"/>
      <w:lvlText w:val="%8."/>
      <w:lvlJc w:val="left"/>
      <w:pPr>
        <w:tabs>
          <w:tab w:val="num" w:pos="10476"/>
        </w:tabs>
        <w:ind w:left="10476" w:hanging="360"/>
      </w:pPr>
    </w:lvl>
    <w:lvl w:ilvl="8" w:tplc="0419001B">
      <w:start w:val="1"/>
      <w:numFmt w:val="lowerRoman"/>
      <w:lvlText w:val="%9."/>
      <w:lvlJc w:val="right"/>
      <w:pPr>
        <w:tabs>
          <w:tab w:val="num" w:pos="11196"/>
        </w:tabs>
        <w:ind w:left="11196" w:hanging="180"/>
      </w:pPr>
    </w:lvl>
  </w:abstractNum>
  <w:abstractNum w:abstractNumId="2">
    <w:nsid w:val="16BD08F8"/>
    <w:multiLevelType w:val="multilevel"/>
    <w:tmpl w:val="FCEC7FBC"/>
    <w:styleLink w:val="ECCBullets"/>
    <w:lvl w:ilvl="0">
      <w:start w:val="1"/>
      <w:numFmt w:val="bullet"/>
      <w:lvlText w:val=""/>
      <w:lvlJc w:val="left"/>
      <w:pPr>
        <w:tabs>
          <w:tab w:val="num" w:pos="340"/>
        </w:tabs>
        <w:ind w:left="340" w:hanging="340"/>
      </w:pPr>
      <w:rPr>
        <w:rFonts w:ascii="Wingdings" w:hAnsi="Wingdings" w:hint="default"/>
        <w:color w:val="D2232A"/>
      </w:rPr>
    </w:lvl>
    <w:lvl w:ilvl="1">
      <w:start w:val="1"/>
      <w:numFmt w:val="bullet"/>
      <w:lvlText w:val=""/>
      <w:lvlJc w:val="left"/>
      <w:pPr>
        <w:tabs>
          <w:tab w:val="num" w:pos="680"/>
        </w:tabs>
        <w:ind w:left="680" w:hanging="340"/>
      </w:pPr>
      <w:rPr>
        <w:rFonts w:ascii="Wingdings" w:hAnsi="Wingdings" w:hint="default"/>
        <w:color w:val="D2232A"/>
      </w:rPr>
    </w:lvl>
    <w:lvl w:ilvl="2">
      <w:start w:val="1"/>
      <w:numFmt w:val="bullet"/>
      <w:lvlText w:val=""/>
      <w:lvlJc w:val="left"/>
      <w:pPr>
        <w:tabs>
          <w:tab w:val="num" w:pos="1021"/>
        </w:tabs>
        <w:ind w:left="1021" w:hanging="341"/>
      </w:pPr>
      <w:rPr>
        <w:rFonts w:ascii="Wingdings" w:hAnsi="Wingdings" w:hint="default"/>
        <w:color w:val="D2232A"/>
      </w:rPr>
    </w:lvl>
    <w:lvl w:ilvl="3">
      <w:start w:val="1"/>
      <w:numFmt w:val="bullet"/>
      <w:lvlText w:val=""/>
      <w:lvlJc w:val="left"/>
      <w:pPr>
        <w:tabs>
          <w:tab w:val="num" w:pos="1361"/>
        </w:tabs>
        <w:ind w:left="1361" w:hanging="340"/>
      </w:pPr>
      <w:rPr>
        <w:rFonts w:ascii="Wingdings" w:hAnsi="Wingdings" w:hint="default"/>
        <w:color w:val="D2232A"/>
      </w:rPr>
    </w:lvl>
    <w:lvl w:ilvl="4">
      <w:start w:val="1"/>
      <w:numFmt w:val="bullet"/>
      <w:lvlText w:val="o"/>
      <w:lvlJc w:val="left"/>
      <w:pPr>
        <w:tabs>
          <w:tab w:val="num" w:pos="2579"/>
        </w:tabs>
        <w:ind w:left="2579" w:hanging="360"/>
      </w:pPr>
      <w:rPr>
        <w:rFonts w:ascii="Courier New" w:hAnsi="Courier New" w:hint="default"/>
      </w:rPr>
    </w:lvl>
    <w:lvl w:ilvl="5">
      <w:start w:val="1"/>
      <w:numFmt w:val="bullet"/>
      <w:lvlText w:val=""/>
      <w:lvlJc w:val="left"/>
      <w:pPr>
        <w:tabs>
          <w:tab w:val="num" w:pos="3299"/>
        </w:tabs>
        <w:ind w:left="3299" w:hanging="360"/>
      </w:pPr>
      <w:rPr>
        <w:rFonts w:ascii="Wingdings" w:hAnsi="Wingdings" w:hint="default"/>
      </w:rPr>
    </w:lvl>
    <w:lvl w:ilvl="6">
      <w:start w:val="1"/>
      <w:numFmt w:val="bullet"/>
      <w:lvlText w:val=""/>
      <w:lvlJc w:val="left"/>
      <w:pPr>
        <w:tabs>
          <w:tab w:val="num" w:pos="4019"/>
        </w:tabs>
        <w:ind w:left="4019" w:hanging="360"/>
      </w:pPr>
      <w:rPr>
        <w:rFonts w:ascii="Symbol" w:hAnsi="Symbol" w:hint="default"/>
      </w:rPr>
    </w:lvl>
    <w:lvl w:ilvl="7">
      <w:start w:val="1"/>
      <w:numFmt w:val="bullet"/>
      <w:lvlText w:val="o"/>
      <w:lvlJc w:val="left"/>
      <w:pPr>
        <w:tabs>
          <w:tab w:val="num" w:pos="4739"/>
        </w:tabs>
        <w:ind w:left="4739" w:hanging="360"/>
      </w:pPr>
      <w:rPr>
        <w:rFonts w:ascii="Courier New" w:hAnsi="Courier New" w:hint="default"/>
      </w:rPr>
    </w:lvl>
    <w:lvl w:ilvl="8">
      <w:start w:val="1"/>
      <w:numFmt w:val="bullet"/>
      <w:lvlText w:val=""/>
      <w:lvlJc w:val="left"/>
      <w:pPr>
        <w:tabs>
          <w:tab w:val="num" w:pos="5459"/>
        </w:tabs>
        <w:ind w:left="5459" w:hanging="360"/>
      </w:pPr>
      <w:rPr>
        <w:rFonts w:ascii="Wingdings" w:hAnsi="Wingdings" w:hint="default"/>
      </w:rPr>
    </w:lvl>
  </w:abstractNum>
  <w:abstractNum w:abstractNumId="3">
    <w:nsid w:val="1C0A6254"/>
    <w:multiLevelType w:val="hybridMultilevel"/>
    <w:tmpl w:val="E4A2BA20"/>
    <w:lvl w:ilvl="0" w:tplc="73C4B67C">
      <w:start w:val="1"/>
      <w:numFmt w:val="bullet"/>
      <w:lvlText w:val=""/>
      <w:lvlJc w:val="left"/>
      <w:pPr>
        <w:ind w:left="720" w:hanging="360"/>
      </w:pPr>
      <w:rPr>
        <w:rFonts w:ascii="Symbol" w:hAnsi="Symbol" w:hint="default"/>
        <w:color w:val="C00000"/>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nsid w:val="20A87A02"/>
    <w:multiLevelType w:val="hybridMultilevel"/>
    <w:tmpl w:val="3962F2D4"/>
    <w:lvl w:ilvl="0" w:tplc="6E3A243C">
      <w:start w:val="1"/>
      <w:numFmt w:val="bullet"/>
      <w:pStyle w:val="ECCParBulleted"/>
      <w:lvlText w:val=""/>
      <w:lvlJc w:val="left"/>
      <w:pPr>
        <w:tabs>
          <w:tab w:val="num" w:pos="340"/>
        </w:tabs>
        <w:ind w:left="340" w:hanging="340"/>
      </w:pPr>
      <w:rPr>
        <w:rFonts w:ascii="Wingdings" w:hAnsi="Wingdings" w:hint="default"/>
        <w:color w:val="D2232A"/>
      </w:rPr>
    </w:lvl>
    <w:lvl w:ilvl="1" w:tplc="04090003">
      <w:start w:val="1"/>
      <w:numFmt w:val="bullet"/>
      <w:lvlText w:val="o"/>
      <w:lvlJc w:val="left"/>
      <w:pPr>
        <w:tabs>
          <w:tab w:val="num" w:pos="419"/>
        </w:tabs>
        <w:ind w:left="419" w:hanging="360"/>
      </w:pPr>
      <w:rPr>
        <w:rFonts w:ascii="Courier New" w:hAnsi="Courier New" w:cs="Arial Bold" w:hint="default"/>
      </w:rPr>
    </w:lvl>
    <w:lvl w:ilvl="2" w:tplc="04090005">
      <w:start w:val="1"/>
      <w:numFmt w:val="bullet"/>
      <w:lvlText w:val=""/>
      <w:lvlJc w:val="left"/>
      <w:pPr>
        <w:tabs>
          <w:tab w:val="num" w:pos="1139"/>
        </w:tabs>
        <w:ind w:left="1139" w:hanging="360"/>
      </w:pPr>
      <w:rPr>
        <w:rFonts w:ascii="Wingdings" w:hAnsi="Wingdings" w:hint="default"/>
      </w:rPr>
    </w:lvl>
    <w:lvl w:ilvl="3" w:tplc="04090001">
      <w:start w:val="1"/>
      <w:numFmt w:val="bullet"/>
      <w:lvlText w:val=""/>
      <w:lvlJc w:val="left"/>
      <w:pPr>
        <w:tabs>
          <w:tab w:val="num" w:pos="1859"/>
        </w:tabs>
        <w:ind w:left="1859" w:hanging="360"/>
      </w:pPr>
      <w:rPr>
        <w:rFonts w:ascii="Symbol" w:hAnsi="Symbol" w:hint="default"/>
      </w:rPr>
    </w:lvl>
    <w:lvl w:ilvl="4" w:tplc="04090003">
      <w:start w:val="1"/>
      <w:numFmt w:val="bullet"/>
      <w:lvlText w:val="o"/>
      <w:lvlJc w:val="left"/>
      <w:pPr>
        <w:tabs>
          <w:tab w:val="num" w:pos="2579"/>
        </w:tabs>
        <w:ind w:left="2579" w:hanging="360"/>
      </w:pPr>
      <w:rPr>
        <w:rFonts w:ascii="Courier New" w:hAnsi="Courier New" w:cs="Arial Bold" w:hint="default"/>
      </w:rPr>
    </w:lvl>
    <w:lvl w:ilvl="5" w:tplc="04090005">
      <w:start w:val="1"/>
      <w:numFmt w:val="bullet"/>
      <w:lvlText w:val=""/>
      <w:lvlJc w:val="left"/>
      <w:pPr>
        <w:tabs>
          <w:tab w:val="num" w:pos="3299"/>
        </w:tabs>
        <w:ind w:left="3299" w:hanging="360"/>
      </w:pPr>
      <w:rPr>
        <w:rFonts w:ascii="Wingdings" w:hAnsi="Wingdings" w:hint="default"/>
      </w:rPr>
    </w:lvl>
    <w:lvl w:ilvl="6" w:tplc="04090001">
      <w:start w:val="1"/>
      <w:numFmt w:val="bullet"/>
      <w:lvlText w:val=""/>
      <w:lvlJc w:val="left"/>
      <w:pPr>
        <w:tabs>
          <w:tab w:val="num" w:pos="4019"/>
        </w:tabs>
        <w:ind w:left="4019" w:hanging="360"/>
      </w:pPr>
      <w:rPr>
        <w:rFonts w:ascii="Symbol" w:hAnsi="Symbol" w:hint="default"/>
      </w:rPr>
    </w:lvl>
    <w:lvl w:ilvl="7" w:tplc="04090003">
      <w:start w:val="1"/>
      <w:numFmt w:val="bullet"/>
      <w:lvlText w:val="o"/>
      <w:lvlJc w:val="left"/>
      <w:pPr>
        <w:tabs>
          <w:tab w:val="num" w:pos="4739"/>
        </w:tabs>
        <w:ind w:left="4739" w:hanging="360"/>
      </w:pPr>
      <w:rPr>
        <w:rFonts w:ascii="Courier New" w:hAnsi="Courier New" w:cs="Arial Bold" w:hint="default"/>
      </w:rPr>
    </w:lvl>
    <w:lvl w:ilvl="8" w:tplc="04090005" w:tentative="1">
      <w:start w:val="1"/>
      <w:numFmt w:val="bullet"/>
      <w:lvlText w:val=""/>
      <w:lvlJc w:val="left"/>
      <w:pPr>
        <w:tabs>
          <w:tab w:val="num" w:pos="5459"/>
        </w:tabs>
        <w:ind w:left="5459" w:hanging="360"/>
      </w:pPr>
      <w:rPr>
        <w:rFonts w:ascii="Wingdings" w:hAnsi="Wingdings" w:hint="default"/>
      </w:rPr>
    </w:lvl>
  </w:abstractNum>
  <w:abstractNum w:abstractNumId="5">
    <w:nsid w:val="212F4188"/>
    <w:multiLevelType w:val="multilevel"/>
    <w:tmpl w:val="169232EE"/>
    <w:lvl w:ilvl="0">
      <w:start w:val="1"/>
      <w:numFmt w:val="decimal"/>
      <w:pStyle w:val="ECCAnnexheading1"/>
      <w:suff w:val="space"/>
      <w:lvlText w:val="ANNEX %1:"/>
      <w:lvlJc w:val="left"/>
      <w:pPr>
        <w:ind w:left="0" w:firstLine="0"/>
      </w:pPr>
      <w:rPr>
        <w:rFonts w:ascii="Arial" w:hAnsi="Arial" w:hint="default"/>
        <w:b/>
        <w:bCs w:val="0"/>
        <w:i w:val="0"/>
        <w:iCs w:val="0"/>
        <w:smallCaps w:val="0"/>
        <w:strike w:val="0"/>
        <w:dstrike w:val="0"/>
        <w:vanish w:val="0"/>
        <w:color w:val="D2232A"/>
        <w:spacing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ECCAnnexheading2"/>
      <w:suff w:val="space"/>
      <w:lvlText w:val="A%1.%2"/>
      <w:lvlJc w:val="left"/>
      <w:pPr>
        <w:ind w:left="576" w:hanging="576"/>
      </w:pPr>
      <w:rPr>
        <w:rFonts w:hint="default"/>
      </w:rPr>
    </w:lvl>
    <w:lvl w:ilvl="2">
      <w:start w:val="1"/>
      <w:numFmt w:val="decimal"/>
      <w:pStyle w:val="ECCAnnexheading3"/>
      <w:lvlText w:val="A%1.%2.%3"/>
      <w:lvlJc w:val="left"/>
      <w:pPr>
        <w:tabs>
          <w:tab w:val="num" w:pos="720"/>
        </w:tabs>
        <w:ind w:left="720" w:hanging="720"/>
      </w:pPr>
      <w:rPr>
        <w:rFonts w:hint="default"/>
      </w:rPr>
    </w:lvl>
    <w:lvl w:ilvl="3">
      <w:start w:val="1"/>
      <w:numFmt w:val="decimal"/>
      <w:pStyle w:val="ECCAnnexheading4"/>
      <w:lvlText w:val="A%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235C48D5"/>
    <w:multiLevelType w:val="hybridMultilevel"/>
    <w:tmpl w:val="91EEC04C"/>
    <w:lvl w:ilvl="0" w:tplc="73C4B67C">
      <w:start w:val="1"/>
      <w:numFmt w:val="bullet"/>
      <w:lvlText w:val=""/>
      <w:lvlJc w:val="left"/>
      <w:pPr>
        <w:ind w:left="720" w:hanging="360"/>
      </w:pPr>
      <w:rPr>
        <w:rFonts w:ascii="Symbol" w:hAnsi="Symbol" w:hint="default"/>
        <w:color w:val="C00000"/>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7">
    <w:nsid w:val="2C515AA7"/>
    <w:multiLevelType w:val="hybridMultilevel"/>
    <w:tmpl w:val="0B6CAE60"/>
    <w:lvl w:ilvl="0" w:tplc="73C4B67C">
      <w:start w:val="1"/>
      <w:numFmt w:val="bullet"/>
      <w:lvlText w:val=""/>
      <w:lvlJc w:val="left"/>
      <w:pPr>
        <w:ind w:left="720" w:hanging="360"/>
      </w:pPr>
      <w:rPr>
        <w:rFonts w:ascii="Symbol" w:hAnsi="Symbol" w:hint="default"/>
        <w:color w:val="C00000"/>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8">
    <w:nsid w:val="2DF265E1"/>
    <w:multiLevelType w:val="hybridMultilevel"/>
    <w:tmpl w:val="74845DC0"/>
    <w:lvl w:ilvl="0" w:tplc="73C4B67C">
      <w:start w:val="1"/>
      <w:numFmt w:val="bullet"/>
      <w:lvlText w:val=""/>
      <w:lvlJc w:val="left"/>
      <w:pPr>
        <w:ind w:left="720" w:hanging="360"/>
      </w:pPr>
      <w:rPr>
        <w:rFonts w:ascii="Symbol" w:hAnsi="Symbol" w:hint="default"/>
        <w:color w:val="C00000"/>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9">
    <w:nsid w:val="3208158B"/>
    <w:multiLevelType w:val="hybridMultilevel"/>
    <w:tmpl w:val="70DE77D4"/>
    <w:lvl w:ilvl="0" w:tplc="73C4B67C">
      <w:start w:val="1"/>
      <w:numFmt w:val="bullet"/>
      <w:lvlText w:val=""/>
      <w:lvlJc w:val="left"/>
      <w:pPr>
        <w:tabs>
          <w:tab w:val="num" w:pos="360"/>
        </w:tabs>
        <w:ind w:left="360" w:hanging="360"/>
      </w:pPr>
      <w:rPr>
        <w:rFonts w:ascii="Symbol" w:hAnsi="Symbol" w:hint="default"/>
        <w:b w:val="0"/>
        <w:bCs w:val="0"/>
        <w:i w:val="0"/>
        <w:iCs w:val="0"/>
        <w:caps w:val="0"/>
        <w:smallCaps w:val="0"/>
        <w:strike w:val="0"/>
        <w:dstrike w:val="0"/>
        <w:outline w:val="0"/>
        <w:shadow w:val="0"/>
        <w:emboss w:val="0"/>
        <w:imprint w:val="0"/>
        <w:vanish w:val="0"/>
        <w:webHidden w:val="0"/>
        <w:color w:val="C00000"/>
        <w:spacing w:val="0"/>
        <w:kern w:val="0"/>
        <w:position w:val="0"/>
        <w:u w:val="none"/>
        <w:effect w:val="none"/>
        <w:vertAlign w:val="baseline"/>
        <w:em w:val="none"/>
        <w:specVanish w:val="0"/>
      </w:rPr>
    </w:lvl>
    <w:lvl w:ilvl="1" w:tplc="04190019">
      <w:start w:val="1"/>
      <w:numFmt w:val="bullet"/>
      <w:lvlText w:val=""/>
      <w:lvlJc w:val="left"/>
      <w:pPr>
        <w:tabs>
          <w:tab w:val="num" w:pos="6156"/>
        </w:tabs>
        <w:ind w:left="6156" w:hanging="360"/>
      </w:pPr>
      <w:rPr>
        <w:rFonts w:ascii="Symbol" w:hAnsi="Symbol" w:hint="default"/>
        <w:b w:val="0"/>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rPr>
    </w:lvl>
    <w:lvl w:ilvl="2" w:tplc="0419001B">
      <w:numFmt w:val="bullet"/>
      <w:lvlText w:val="-"/>
      <w:lvlJc w:val="left"/>
      <w:pPr>
        <w:tabs>
          <w:tab w:val="num" w:pos="7056"/>
        </w:tabs>
        <w:ind w:left="7056" w:hanging="360"/>
      </w:pPr>
      <w:rPr>
        <w:rFonts w:ascii="Arial" w:eastAsia="Times New Roman" w:hAnsi="Arial" w:cs="Arial" w:hint="default"/>
      </w:rPr>
    </w:lvl>
    <w:lvl w:ilvl="3" w:tplc="0419000F">
      <w:start w:val="1"/>
      <w:numFmt w:val="decimal"/>
      <w:lvlText w:val="%4."/>
      <w:lvlJc w:val="left"/>
      <w:pPr>
        <w:tabs>
          <w:tab w:val="num" w:pos="7596"/>
        </w:tabs>
        <w:ind w:left="7596" w:hanging="360"/>
      </w:pPr>
    </w:lvl>
    <w:lvl w:ilvl="4" w:tplc="04190019">
      <w:start w:val="1"/>
      <w:numFmt w:val="lowerLetter"/>
      <w:lvlText w:val="%5."/>
      <w:lvlJc w:val="left"/>
      <w:pPr>
        <w:tabs>
          <w:tab w:val="num" w:pos="8316"/>
        </w:tabs>
        <w:ind w:left="8316" w:hanging="360"/>
      </w:pPr>
    </w:lvl>
    <w:lvl w:ilvl="5" w:tplc="0419001B">
      <w:start w:val="1"/>
      <w:numFmt w:val="lowerRoman"/>
      <w:lvlText w:val="%6."/>
      <w:lvlJc w:val="right"/>
      <w:pPr>
        <w:tabs>
          <w:tab w:val="num" w:pos="9036"/>
        </w:tabs>
        <w:ind w:left="9036" w:hanging="180"/>
      </w:pPr>
    </w:lvl>
    <w:lvl w:ilvl="6" w:tplc="0419000F">
      <w:start w:val="1"/>
      <w:numFmt w:val="decimal"/>
      <w:lvlText w:val="%7."/>
      <w:lvlJc w:val="left"/>
      <w:pPr>
        <w:tabs>
          <w:tab w:val="num" w:pos="9756"/>
        </w:tabs>
        <w:ind w:left="9756" w:hanging="360"/>
      </w:pPr>
    </w:lvl>
    <w:lvl w:ilvl="7" w:tplc="04190019">
      <w:start w:val="1"/>
      <w:numFmt w:val="lowerLetter"/>
      <w:lvlText w:val="%8."/>
      <w:lvlJc w:val="left"/>
      <w:pPr>
        <w:tabs>
          <w:tab w:val="num" w:pos="10476"/>
        </w:tabs>
        <w:ind w:left="10476" w:hanging="360"/>
      </w:pPr>
    </w:lvl>
    <w:lvl w:ilvl="8" w:tplc="0419001B">
      <w:start w:val="1"/>
      <w:numFmt w:val="lowerRoman"/>
      <w:lvlText w:val="%9."/>
      <w:lvlJc w:val="right"/>
      <w:pPr>
        <w:tabs>
          <w:tab w:val="num" w:pos="11196"/>
        </w:tabs>
        <w:ind w:left="11196" w:hanging="180"/>
      </w:pPr>
    </w:lvl>
  </w:abstractNum>
  <w:abstractNum w:abstractNumId="10">
    <w:nsid w:val="33EA494C"/>
    <w:multiLevelType w:val="hybridMultilevel"/>
    <w:tmpl w:val="74BE2470"/>
    <w:lvl w:ilvl="0" w:tplc="6E3A243C">
      <w:start w:val="1"/>
      <w:numFmt w:val="bullet"/>
      <w:lvlText w:val=""/>
      <w:lvlJc w:val="left"/>
      <w:pPr>
        <w:tabs>
          <w:tab w:val="num" w:pos="340"/>
        </w:tabs>
        <w:ind w:left="340" w:hanging="340"/>
      </w:pPr>
      <w:rPr>
        <w:rFonts w:ascii="Wingdings" w:hAnsi="Wingdings" w:hint="default"/>
        <w:color w:val="D2232A"/>
      </w:rPr>
    </w:lvl>
    <w:lvl w:ilvl="1" w:tplc="73C4B67C">
      <w:start w:val="1"/>
      <w:numFmt w:val="bullet"/>
      <w:lvlText w:val=""/>
      <w:lvlJc w:val="left"/>
      <w:pPr>
        <w:tabs>
          <w:tab w:val="num" w:pos="419"/>
        </w:tabs>
        <w:ind w:left="419" w:hanging="360"/>
      </w:pPr>
      <w:rPr>
        <w:rFonts w:ascii="Symbol" w:hAnsi="Symbol" w:hint="default"/>
        <w:color w:val="C00000"/>
      </w:rPr>
    </w:lvl>
    <w:lvl w:ilvl="2" w:tplc="04090005">
      <w:start w:val="1"/>
      <w:numFmt w:val="bullet"/>
      <w:lvlText w:val=""/>
      <w:lvlJc w:val="left"/>
      <w:pPr>
        <w:tabs>
          <w:tab w:val="num" w:pos="1139"/>
        </w:tabs>
        <w:ind w:left="1139" w:hanging="360"/>
      </w:pPr>
      <w:rPr>
        <w:rFonts w:ascii="Wingdings" w:hAnsi="Wingdings" w:hint="default"/>
      </w:rPr>
    </w:lvl>
    <w:lvl w:ilvl="3" w:tplc="04090001">
      <w:start w:val="1"/>
      <w:numFmt w:val="bullet"/>
      <w:lvlText w:val=""/>
      <w:lvlJc w:val="left"/>
      <w:pPr>
        <w:tabs>
          <w:tab w:val="num" w:pos="1859"/>
        </w:tabs>
        <w:ind w:left="1859" w:hanging="360"/>
      </w:pPr>
      <w:rPr>
        <w:rFonts w:ascii="Symbol" w:hAnsi="Symbol" w:hint="default"/>
      </w:rPr>
    </w:lvl>
    <w:lvl w:ilvl="4" w:tplc="04090003">
      <w:start w:val="1"/>
      <w:numFmt w:val="bullet"/>
      <w:lvlText w:val="o"/>
      <w:lvlJc w:val="left"/>
      <w:pPr>
        <w:tabs>
          <w:tab w:val="num" w:pos="2579"/>
        </w:tabs>
        <w:ind w:left="2579" w:hanging="360"/>
      </w:pPr>
      <w:rPr>
        <w:rFonts w:ascii="Courier New" w:hAnsi="Courier New" w:cs="Arial Bold" w:hint="default"/>
      </w:rPr>
    </w:lvl>
    <w:lvl w:ilvl="5" w:tplc="04090005">
      <w:start w:val="1"/>
      <w:numFmt w:val="bullet"/>
      <w:lvlText w:val=""/>
      <w:lvlJc w:val="left"/>
      <w:pPr>
        <w:tabs>
          <w:tab w:val="num" w:pos="3299"/>
        </w:tabs>
        <w:ind w:left="3299" w:hanging="360"/>
      </w:pPr>
      <w:rPr>
        <w:rFonts w:ascii="Wingdings" w:hAnsi="Wingdings" w:hint="default"/>
      </w:rPr>
    </w:lvl>
    <w:lvl w:ilvl="6" w:tplc="04090001">
      <w:start w:val="1"/>
      <w:numFmt w:val="bullet"/>
      <w:lvlText w:val=""/>
      <w:lvlJc w:val="left"/>
      <w:pPr>
        <w:tabs>
          <w:tab w:val="num" w:pos="4019"/>
        </w:tabs>
        <w:ind w:left="4019" w:hanging="360"/>
      </w:pPr>
      <w:rPr>
        <w:rFonts w:ascii="Symbol" w:hAnsi="Symbol" w:hint="default"/>
      </w:rPr>
    </w:lvl>
    <w:lvl w:ilvl="7" w:tplc="04090003">
      <w:start w:val="1"/>
      <w:numFmt w:val="bullet"/>
      <w:lvlText w:val="o"/>
      <w:lvlJc w:val="left"/>
      <w:pPr>
        <w:tabs>
          <w:tab w:val="num" w:pos="4739"/>
        </w:tabs>
        <w:ind w:left="4739" w:hanging="360"/>
      </w:pPr>
      <w:rPr>
        <w:rFonts w:ascii="Courier New" w:hAnsi="Courier New" w:cs="Arial Bold" w:hint="default"/>
      </w:rPr>
    </w:lvl>
    <w:lvl w:ilvl="8" w:tplc="04090005" w:tentative="1">
      <w:start w:val="1"/>
      <w:numFmt w:val="bullet"/>
      <w:lvlText w:val=""/>
      <w:lvlJc w:val="left"/>
      <w:pPr>
        <w:tabs>
          <w:tab w:val="num" w:pos="5459"/>
        </w:tabs>
        <w:ind w:left="5459" w:hanging="360"/>
      </w:pPr>
      <w:rPr>
        <w:rFonts w:ascii="Wingdings" w:hAnsi="Wingdings" w:hint="default"/>
      </w:rPr>
    </w:lvl>
  </w:abstractNum>
  <w:abstractNum w:abstractNumId="11">
    <w:nsid w:val="348625CC"/>
    <w:multiLevelType w:val="hybridMultilevel"/>
    <w:tmpl w:val="974E3B3E"/>
    <w:lvl w:ilvl="0" w:tplc="73C4B67C">
      <w:start w:val="1"/>
      <w:numFmt w:val="bullet"/>
      <w:lvlText w:val=""/>
      <w:lvlJc w:val="left"/>
      <w:pPr>
        <w:ind w:left="720" w:hanging="360"/>
      </w:pPr>
      <w:rPr>
        <w:rFonts w:ascii="Symbol" w:hAnsi="Symbol" w:hint="default"/>
        <w:color w:val="C00000"/>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2">
    <w:nsid w:val="36953FED"/>
    <w:multiLevelType w:val="hybridMultilevel"/>
    <w:tmpl w:val="543AB0F2"/>
    <w:lvl w:ilvl="0" w:tplc="73C4B67C">
      <w:start w:val="1"/>
      <w:numFmt w:val="bullet"/>
      <w:lvlText w:val=""/>
      <w:lvlJc w:val="left"/>
      <w:pPr>
        <w:tabs>
          <w:tab w:val="num" w:pos="360"/>
        </w:tabs>
        <w:ind w:left="360" w:hanging="360"/>
      </w:pPr>
      <w:rPr>
        <w:rFonts w:ascii="Symbol" w:hAnsi="Symbol" w:hint="default"/>
        <w:b w:val="0"/>
        <w:bCs w:val="0"/>
        <w:i w:val="0"/>
        <w:iCs w:val="0"/>
        <w:caps w:val="0"/>
        <w:smallCaps w:val="0"/>
        <w:strike w:val="0"/>
        <w:dstrike w:val="0"/>
        <w:outline w:val="0"/>
        <w:shadow w:val="0"/>
        <w:emboss w:val="0"/>
        <w:imprint w:val="0"/>
        <w:vanish w:val="0"/>
        <w:webHidden w:val="0"/>
        <w:color w:val="C00000"/>
        <w:spacing w:val="0"/>
        <w:kern w:val="0"/>
        <w:position w:val="0"/>
        <w:u w:val="none"/>
        <w:effect w:val="none"/>
        <w:vertAlign w:val="baseline"/>
        <w:em w:val="none"/>
        <w:specVanish w:val="0"/>
      </w:rPr>
    </w:lvl>
    <w:lvl w:ilvl="1" w:tplc="04190019">
      <w:start w:val="1"/>
      <w:numFmt w:val="bullet"/>
      <w:lvlText w:val=""/>
      <w:lvlJc w:val="left"/>
      <w:pPr>
        <w:tabs>
          <w:tab w:val="num" w:pos="6156"/>
        </w:tabs>
        <w:ind w:left="6156" w:hanging="360"/>
      </w:pPr>
      <w:rPr>
        <w:rFonts w:ascii="Symbol" w:hAnsi="Symbol" w:hint="default"/>
        <w:b w:val="0"/>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rPr>
    </w:lvl>
    <w:lvl w:ilvl="2" w:tplc="0419001B">
      <w:numFmt w:val="bullet"/>
      <w:lvlText w:val="-"/>
      <w:lvlJc w:val="left"/>
      <w:pPr>
        <w:tabs>
          <w:tab w:val="num" w:pos="7056"/>
        </w:tabs>
        <w:ind w:left="7056" w:hanging="360"/>
      </w:pPr>
      <w:rPr>
        <w:rFonts w:ascii="Arial" w:eastAsia="Times New Roman" w:hAnsi="Arial" w:cs="Arial" w:hint="default"/>
      </w:rPr>
    </w:lvl>
    <w:lvl w:ilvl="3" w:tplc="0419000F">
      <w:start w:val="1"/>
      <w:numFmt w:val="decimal"/>
      <w:lvlText w:val="%4."/>
      <w:lvlJc w:val="left"/>
      <w:pPr>
        <w:tabs>
          <w:tab w:val="num" w:pos="7596"/>
        </w:tabs>
        <w:ind w:left="7596" w:hanging="360"/>
      </w:pPr>
    </w:lvl>
    <w:lvl w:ilvl="4" w:tplc="04190019">
      <w:start w:val="1"/>
      <w:numFmt w:val="lowerLetter"/>
      <w:lvlText w:val="%5."/>
      <w:lvlJc w:val="left"/>
      <w:pPr>
        <w:tabs>
          <w:tab w:val="num" w:pos="8316"/>
        </w:tabs>
        <w:ind w:left="8316" w:hanging="360"/>
      </w:pPr>
    </w:lvl>
    <w:lvl w:ilvl="5" w:tplc="0419001B">
      <w:start w:val="1"/>
      <w:numFmt w:val="lowerRoman"/>
      <w:lvlText w:val="%6."/>
      <w:lvlJc w:val="right"/>
      <w:pPr>
        <w:tabs>
          <w:tab w:val="num" w:pos="9036"/>
        </w:tabs>
        <w:ind w:left="9036" w:hanging="180"/>
      </w:pPr>
    </w:lvl>
    <w:lvl w:ilvl="6" w:tplc="0419000F">
      <w:start w:val="1"/>
      <w:numFmt w:val="decimal"/>
      <w:lvlText w:val="%7."/>
      <w:lvlJc w:val="left"/>
      <w:pPr>
        <w:tabs>
          <w:tab w:val="num" w:pos="9756"/>
        </w:tabs>
        <w:ind w:left="9756" w:hanging="360"/>
      </w:pPr>
    </w:lvl>
    <w:lvl w:ilvl="7" w:tplc="04190019">
      <w:start w:val="1"/>
      <w:numFmt w:val="lowerLetter"/>
      <w:lvlText w:val="%8."/>
      <w:lvlJc w:val="left"/>
      <w:pPr>
        <w:tabs>
          <w:tab w:val="num" w:pos="10476"/>
        </w:tabs>
        <w:ind w:left="10476" w:hanging="360"/>
      </w:pPr>
    </w:lvl>
    <w:lvl w:ilvl="8" w:tplc="0419001B">
      <w:start w:val="1"/>
      <w:numFmt w:val="lowerRoman"/>
      <w:lvlText w:val="%9."/>
      <w:lvlJc w:val="right"/>
      <w:pPr>
        <w:tabs>
          <w:tab w:val="num" w:pos="11196"/>
        </w:tabs>
        <w:ind w:left="11196" w:hanging="180"/>
      </w:pPr>
    </w:lvl>
  </w:abstractNum>
  <w:abstractNum w:abstractNumId="13">
    <w:nsid w:val="3B57373D"/>
    <w:multiLevelType w:val="multilevel"/>
    <w:tmpl w:val="2034D866"/>
    <w:lvl w:ilvl="0">
      <w:start w:val="1"/>
      <w:numFmt w:val="decimal"/>
      <w:lvlText w:val="%1."/>
      <w:lvlJc w:val="left"/>
      <w:pPr>
        <w:tabs>
          <w:tab w:val="num" w:pos="340"/>
        </w:tabs>
        <w:ind w:left="340" w:hanging="340"/>
      </w:pPr>
      <w:rPr>
        <w:rFonts w:ascii="Arial" w:hAnsi="Arial" w:hint="default"/>
        <w:b w:val="0"/>
        <w:i w:val="0"/>
        <w:color w:val="D2232A"/>
        <w:sz w:val="20"/>
      </w:rPr>
    </w:lvl>
    <w:lvl w:ilvl="1">
      <w:start w:val="1"/>
      <w:numFmt w:val="bullet"/>
      <w:lvlText w:val=""/>
      <w:lvlJc w:val="left"/>
      <w:pPr>
        <w:tabs>
          <w:tab w:val="num" w:pos="680"/>
        </w:tabs>
        <w:ind w:left="680" w:hanging="340"/>
      </w:pPr>
      <w:rPr>
        <w:rFonts w:ascii="Wingdings" w:hAnsi="Wingdings" w:hint="default"/>
        <w:color w:val="D2232A"/>
      </w:rPr>
    </w:lvl>
    <w:lvl w:ilvl="2">
      <w:start w:val="1"/>
      <w:numFmt w:val="bullet"/>
      <w:lvlText w:val=""/>
      <w:lvlJc w:val="left"/>
      <w:pPr>
        <w:tabs>
          <w:tab w:val="num" w:pos="1021"/>
        </w:tabs>
        <w:ind w:left="1021" w:hanging="341"/>
      </w:pPr>
      <w:rPr>
        <w:rFonts w:ascii="Wingdings" w:hAnsi="Wingdings" w:hint="default"/>
        <w:color w:val="D2232A"/>
      </w:rPr>
    </w:lvl>
    <w:lvl w:ilvl="3">
      <w:start w:val="1"/>
      <w:numFmt w:val="decimal"/>
      <w:lvlText w:val="(%4)"/>
      <w:lvlJc w:val="left"/>
      <w:pPr>
        <w:ind w:left="1043" w:hanging="360"/>
      </w:pPr>
      <w:rPr>
        <w:rFonts w:hint="default"/>
      </w:rPr>
    </w:lvl>
    <w:lvl w:ilvl="4">
      <w:start w:val="1"/>
      <w:numFmt w:val="lowerLetter"/>
      <w:lvlText w:val="(%5)"/>
      <w:lvlJc w:val="left"/>
      <w:pPr>
        <w:ind w:left="1403" w:hanging="360"/>
      </w:pPr>
      <w:rPr>
        <w:rFonts w:hint="default"/>
      </w:rPr>
    </w:lvl>
    <w:lvl w:ilvl="5">
      <w:start w:val="1"/>
      <w:numFmt w:val="lowerRoman"/>
      <w:lvlText w:val="(%6)"/>
      <w:lvlJc w:val="left"/>
      <w:pPr>
        <w:ind w:left="1763" w:hanging="360"/>
      </w:pPr>
      <w:rPr>
        <w:rFonts w:hint="default"/>
      </w:rPr>
    </w:lvl>
    <w:lvl w:ilvl="6">
      <w:start w:val="1"/>
      <w:numFmt w:val="decimal"/>
      <w:lvlText w:val="%7."/>
      <w:lvlJc w:val="left"/>
      <w:pPr>
        <w:ind w:left="2123" w:hanging="360"/>
      </w:pPr>
      <w:rPr>
        <w:rFonts w:hint="default"/>
      </w:rPr>
    </w:lvl>
    <w:lvl w:ilvl="7">
      <w:start w:val="1"/>
      <w:numFmt w:val="lowerLetter"/>
      <w:lvlText w:val="%8."/>
      <w:lvlJc w:val="left"/>
      <w:pPr>
        <w:ind w:left="2483" w:hanging="360"/>
      </w:pPr>
      <w:rPr>
        <w:rFonts w:hint="default"/>
      </w:rPr>
    </w:lvl>
    <w:lvl w:ilvl="8">
      <w:start w:val="1"/>
      <w:numFmt w:val="lowerRoman"/>
      <w:lvlText w:val="%9."/>
      <w:lvlJc w:val="left"/>
      <w:pPr>
        <w:ind w:left="2843" w:hanging="360"/>
      </w:pPr>
      <w:rPr>
        <w:rFonts w:hint="default"/>
      </w:rPr>
    </w:lvl>
  </w:abstractNum>
  <w:abstractNum w:abstractNumId="14">
    <w:nsid w:val="3BB12D45"/>
    <w:multiLevelType w:val="hybridMultilevel"/>
    <w:tmpl w:val="EDAEB6E0"/>
    <w:lvl w:ilvl="0" w:tplc="6E3A243C">
      <w:start w:val="1"/>
      <w:numFmt w:val="bullet"/>
      <w:lvlText w:val=""/>
      <w:lvlJc w:val="left"/>
      <w:pPr>
        <w:tabs>
          <w:tab w:val="num" w:pos="340"/>
        </w:tabs>
        <w:ind w:left="340" w:hanging="340"/>
      </w:pPr>
      <w:rPr>
        <w:rFonts w:ascii="Wingdings" w:hAnsi="Wingdings" w:hint="default"/>
        <w:color w:val="D2232A"/>
      </w:rPr>
    </w:lvl>
    <w:lvl w:ilvl="1" w:tplc="73C4B67C">
      <w:start w:val="1"/>
      <w:numFmt w:val="bullet"/>
      <w:lvlText w:val=""/>
      <w:lvlJc w:val="left"/>
      <w:pPr>
        <w:tabs>
          <w:tab w:val="num" w:pos="419"/>
        </w:tabs>
        <w:ind w:left="419" w:hanging="360"/>
      </w:pPr>
      <w:rPr>
        <w:rFonts w:ascii="Symbol" w:hAnsi="Symbol" w:hint="default"/>
        <w:color w:val="C00000"/>
      </w:rPr>
    </w:lvl>
    <w:lvl w:ilvl="2" w:tplc="04090005">
      <w:start w:val="1"/>
      <w:numFmt w:val="bullet"/>
      <w:lvlText w:val=""/>
      <w:lvlJc w:val="left"/>
      <w:pPr>
        <w:tabs>
          <w:tab w:val="num" w:pos="1139"/>
        </w:tabs>
        <w:ind w:left="1139" w:hanging="360"/>
      </w:pPr>
      <w:rPr>
        <w:rFonts w:ascii="Wingdings" w:hAnsi="Wingdings" w:hint="default"/>
      </w:rPr>
    </w:lvl>
    <w:lvl w:ilvl="3" w:tplc="04090001">
      <w:start w:val="1"/>
      <w:numFmt w:val="bullet"/>
      <w:lvlText w:val=""/>
      <w:lvlJc w:val="left"/>
      <w:pPr>
        <w:tabs>
          <w:tab w:val="num" w:pos="1859"/>
        </w:tabs>
        <w:ind w:left="1859" w:hanging="360"/>
      </w:pPr>
      <w:rPr>
        <w:rFonts w:ascii="Symbol" w:hAnsi="Symbol" w:hint="default"/>
      </w:rPr>
    </w:lvl>
    <w:lvl w:ilvl="4" w:tplc="04090003">
      <w:start w:val="1"/>
      <w:numFmt w:val="bullet"/>
      <w:lvlText w:val="o"/>
      <w:lvlJc w:val="left"/>
      <w:pPr>
        <w:tabs>
          <w:tab w:val="num" w:pos="2579"/>
        </w:tabs>
        <w:ind w:left="2579" w:hanging="360"/>
      </w:pPr>
      <w:rPr>
        <w:rFonts w:ascii="Courier New" w:hAnsi="Courier New" w:cs="Arial Bold" w:hint="default"/>
      </w:rPr>
    </w:lvl>
    <w:lvl w:ilvl="5" w:tplc="04090005">
      <w:start w:val="1"/>
      <w:numFmt w:val="bullet"/>
      <w:lvlText w:val=""/>
      <w:lvlJc w:val="left"/>
      <w:pPr>
        <w:tabs>
          <w:tab w:val="num" w:pos="3299"/>
        </w:tabs>
        <w:ind w:left="3299" w:hanging="360"/>
      </w:pPr>
      <w:rPr>
        <w:rFonts w:ascii="Wingdings" w:hAnsi="Wingdings" w:hint="default"/>
      </w:rPr>
    </w:lvl>
    <w:lvl w:ilvl="6" w:tplc="04090001">
      <w:start w:val="1"/>
      <w:numFmt w:val="bullet"/>
      <w:lvlText w:val=""/>
      <w:lvlJc w:val="left"/>
      <w:pPr>
        <w:tabs>
          <w:tab w:val="num" w:pos="4019"/>
        </w:tabs>
        <w:ind w:left="4019" w:hanging="360"/>
      </w:pPr>
      <w:rPr>
        <w:rFonts w:ascii="Symbol" w:hAnsi="Symbol" w:hint="default"/>
      </w:rPr>
    </w:lvl>
    <w:lvl w:ilvl="7" w:tplc="04090003">
      <w:start w:val="1"/>
      <w:numFmt w:val="bullet"/>
      <w:lvlText w:val="o"/>
      <w:lvlJc w:val="left"/>
      <w:pPr>
        <w:tabs>
          <w:tab w:val="num" w:pos="4739"/>
        </w:tabs>
        <w:ind w:left="4739" w:hanging="360"/>
      </w:pPr>
      <w:rPr>
        <w:rFonts w:ascii="Courier New" w:hAnsi="Courier New" w:cs="Arial Bold" w:hint="default"/>
      </w:rPr>
    </w:lvl>
    <w:lvl w:ilvl="8" w:tplc="04090005" w:tentative="1">
      <w:start w:val="1"/>
      <w:numFmt w:val="bullet"/>
      <w:lvlText w:val=""/>
      <w:lvlJc w:val="left"/>
      <w:pPr>
        <w:tabs>
          <w:tab w:val="num" w:pos="5459"/>
        </w:tabs>
        <w:ind w:left="5459" w:hanging="360"/>
      </w:pPr>
      <w:rPr>
        <w:rFonts w:ascii="Wingdings" w:hAnsi="Wingdings" w:hint="default"/>
      </w:rPr>
    </w:lvl>
  </w:abstractNum>
  <w:abstractNum w:abstractNumId="15">
    <w:nsid w:val="3D163F7A"/>
    <w:multiLevelType w:val="multilevel"/>
    <w:tmpl w:val="E33C0258"/>
    <w:lvl w:ilvl="0">
      <w:numFmt w:val="decimal"/>
      <w:pStyle w:val="Heading1"/>
      <w:lvlText w:val="%1"/>
      <w:lvlJc w:val="left"/>
      <w:pPr>
        <w:tabs>
          <w:tab w:val="num" w:pos="8370"/>
        </w:tabs>
        <w:ind w:left="8370" w:hanging="432"/>
      </w:pPr>
      <w:rPr>
        <w:rFonts w:ascii="Arial" w:hAnsi="Arial" w:hint="default"/>
        <w:b/>
        <w:i w:val="0"/>
        <w:color w:val="D2232A"/>
        <w:sz w:val="20"/>
        <w:szCs w:val="20"/>
      </w:rPr>
    </w:lvl>
    <w:lvl w:ilvl="1">
      <w:start w:val="1"/>
      <w:numFmt w:val="decimal"/>
      <w:pStyle w:val="Heading2"/>
      <w:lvlText w:val="%1.%2"/>
      <w:lvlJc w:val="left"/>
      <w:pPr>
        <w:tabs>
          <w:tab w:val="num" w:pos="576"/>
        </w:tabs>
        <w:ind w:left="576" w:hanging="576"/>
      </w:pPr>
      <w:rPr>
        <w:rFonts w:ascii="Arial" w:hAnsi="Arial" w:hint="default"/>
        <w:b/>
        <w:i w:val="0"/>
        <w:sz w:val="20"/>
      </w:rPr>
    </w:lvl>
    <w:lvl w:ilvl="2">
      <w:start w:val="1"/>
      <w:numFmt w:val="decimal"/>
      <w:pStyle w:val="Heading3"/>
      <w:lvlText w:val="%1.%2.%3"/>
      <w:lvlJc w:val="left"/>
      <w:pPr>
        <w:tabs>
          <w:tab w:val="num" w:pos="720"/>
        </w:tabs>
        <w:ind w:left="720" w:hanging="720"/>
      </w:pPr>
      <w:rPr>
        <w:rFonts w:ascii="Arial" w:hAnsi="Arial" w:hint="default"/>
        <w:b/>
        <w:i w:val="0"/>
        <w:caps w:val="0"/>
        <w:sz w:val="20"/>
        <w:szCs w:val="20"/>
      </w:rPr>
    </w:lvl>
    <w:lvl w:ilvl="3">
      <w:start w:val="1"/>
      <w:numFmt w:val="decimal"/>
      <w:pStyle w:val="Heading4"/>
      <w:lvlText w:val="%1.%2.%3.%4"/>
      <w:lvlJc w:val="left"/>
      <w:pPr>
        <w:tabs>
          <w:tab w:val="num" w:pos="864"/>
        </w:tabs>
        <w:ind w:left="864" w:hanging="864"/>
      </w:pPr>
      <w:rPr>
        <w:rFonts w:ascii="Arial" w:hAnsi="Arial" w:hint="default"/>
        <w:b w:val="0"/>
        <w:i/>
        <w:sz w:val="20"/>
      </w:rPr>
    </w:lvl>
    <w:lvl w:ilvl="4">
      <w:start w:val="1"/>
      <w:numFmt w:val="decimal"/>
      <w:pStyle w:val="Heading5"/>
      <w:lvlText w:val="%1.%2.%3.%4.%5"/>
      <w:lvlJc w:val="left"/>
      <w:pPr>
        <w:tabs>
          <w:tab w:val="num" w:pos="1008"/>
        </w:tabs>
        <w:ind w:left="1008" w:hanging="1008"/>
      </w:pPr>
      <w:rPr>
        <w:rFonts w:hint="default"/>
        <w:sz w:val="24"/>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6">
    <w:nsid w:val="3E5C1E26"/>
    <w:multiLevelType w:val="hybridMultilevel"/>
    <w:tmpl w:val="C694D52A"/>
    <w:lvl w:ilvl="0" w:tplc="04090017">
      <w:start w:val="1"/>
      <w:numFmt w:val="lowerLetter"/>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6E6242A"/>
    <w:multiLevelType w:val="hybridMultilevel"/>
    <w:tmpl w:val="9146C086"/>
    <w:lvl w:ilvl="0" w:tplc="5D1C976A">
      <w:start w:val="1"/>
      <w:numFmt w:val="decimal"/>
      <w:pStyle w:val="reference"/>
      <w:lvlText w:val="[%1]"/>
      <w:lvlJc w:val="left"/>
      <w:pPr>
        <w:tabs>
          <w:tab w:val="num" w:pos="397"/>
        </w:tabs>
        <w:ind w:left="397" w:hanging="397"/>
      </w:pPr>
      <w:rPr>
        <w:rFonts w:ascii="Arial" w:hAnsi="Arial" w:hint="default"/>
        <w:b w:val="0"/>
        <w:i w:val="0"/>
        <w:color w:val="D2232A"/>
        <w:sz w:val="1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8262D09"/>
    <w:multiLevelType w:val="multilevel"/>
    <w:tmpl w:val="91FCFD44"/>
    <w:lvl w:ilvl="0">
      <w:start w:val="1"/>
      <w:numFmt w:val="decimal"/>
      <w:lvlText w:val="%1."/>
      <w:lvlJc w:val="left"/>
      <w:pPr>
        <w:tabs>
          <w:tab w:val="num" w:pos="340"/>
        </w:tabs>
        <w:ind w:left="340" w:hanging="340"/>
      </w:pPr>
      <w:rPr>
        <w:rFonts w:ascii="Arial" w:hAnsi="Arial" w:hint="default"/>
        <w:b w:val="0"/>
        <w:i w:val="0"/>
        <w:color w:val="D2232A"/>
        <w:sz w:val="20"/>
      </w:rPr>
    </w:lvl>
    <w:lvl w:ilvl="1">
      <w:start w:val="1"/>
      <w:numFmt w:val="lowerLetter"/>
      <w:lvlText w:val="%2)"/>
      <w:lvlJc w:val="left"/>
      <w:pPr>
        <w:tabs>
          <w:tab w:val="num" w:pos="680"/>
        </w:tabs>
        <w:ind w:left="680" w:hanging="340"/>
      </w:pPr>
      <w:rPr>
        <w:rFonts w:ascii="Arial" w:hAnsi="Arial" w:hint="default"/>
        <w:b w:val="0"/>
        <w:i w:val="0"/>
        <w:color w:val="D2232A"/>
        <w:sz w:val="20"/>
      </w:rPr>
    </w:lvl>
    <w:lvl w:ilvl="2">
      <w:start w:val="1"/>
      <w:numFmt w:val="bullet"/>
      <w:lvlText w:val=""/>
      <w:lvlJc w:val="left"/>
      <w:pPr>
        <w:tabs>
          <w:tab w:val="num" w:pos="1021"/>
        </w:tabs>
        <w:ind w:left="1021" w:hanging="341"/>
      </w:pPr>
      <w:rPr>
        <w:rFonts w:ascii="Wingdings" w:hAnsi="Wingdings" w:hint="default"/>
        <w:color w:val="D2232A"/>
      </w:rPr>
    </w:lvl>
    <w:lvl w:ilvl="3">
      <w:start w:val="1"/>
      <w:numFmt w:val="none"/>
      <w:lvlText w:val=""/>
      <w:lvlJc w:val="left"/>
      <w:pPr>
        <w:tabs>
          <w:tab w:val="num" w:pos="1077"/>
        </w:tabs>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19">
    <w:nsid w:val="49755ED3"/>
    <w:multiLevelType w:val="hybridMultilevel"/>
    <w:tmpl w:val="D9FE901E"/>
    <w:lvl w:ilvl="0" w:tplc="0C7C2CF8">
      <w:start w:val="1"/>
      <w:numFmt w:val="decimal"/>
      <w:pStyle w:val="body"/>
      <w:lvlText w:val="(%1)"/>
      <w:lvlJc w:val="left"/>
      <w:pPr>
        <w:tabs>
          <w:tab w:val="num" w:pos="0"/>
        </w:tabs>
        <w:ind w:left="720" w:hanging="720"/>
      </w:pPr>
      <w:rPr>
        <w:rFonts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615C5D00">
      <w:start w:val="1"/>
      <w:numFmt w:val="bullet"/>
      <w:lvlText w:val=""/>
      <w:lvlJc w:val="left"/>
      <w:pPr>
        <w:tabs>
          <w:tab w:val="num" w:pos="306"/>
        </w:tabs>
        <w:ind w:left="306" w:firstLine="774"/>
      </w:pPr>
      <w:rPr>
        <w:rFonts w:ascii="Wingdings" w:hAnsi="Wingding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tplc="1809001B">
      <w:start w:val="1"/>
      <w:numFmt w:val="lowerRoman"/>
      <w:lvlText w:val="%3."/>
      <w:lvlJc w:val="right"/>
      <w:pPr>
        <w:tabs>
          <w:tab w:val="num" w:pos="2160"/>
        </w:tabs>
        <w:ind w:left="2160" w:hanging="180"/>
      </w:pPr>
    </w:lvl>
    <w:lvl w:ilvl="3" w:tplc="1809000F" w:tentative="1">
      <w:start w:val="1"/>
      <w:numFmt w:val="decimal"/>
      <w:lvlText w:val="%4."/>
      <w:lvlJc w:val="left"/>
      <w:pPr>
        <w:tabs>
          <w:tab w:val="num" w:pos="2880"/>
        </w:tabs>
        <w:ind w:left="2880" w:hanging="360"/>
      </w:pPr>
    </w:lvl>
    <w:lvl w:ilvl="4" w:tplc="18090019" w:tentative="1">
      <w:start w:val="1"/>
      <w:numFmt w:val="lowerLetter"/>
      <w:lvlText w:val="%5."/>
      <w:lvlJc w:val="left"/>
      <w:pPr>
        <w:tabs>
          <w:tab w:val="num" w:pos="3600"/>
        </w:tabs>
        <w:ind w:left="3600" w:hanging="360"/>
      </w:pPr>
    </w:lvl>
    <w:lvl w:ilvl="5" w:tplc="1809001B" w:tentative="1">
      <w:start w:val="1"/>
      <w:numFmt w:val="lowerRoman"/>
      <w:lvlText w:val="%6."/>
      <w:lvlJc w:val="right"/>
      <w:pPr>
        <w:tabs>
          <w:tab w:val="num" w:pos="4320"/>
        </w:tabs>
        <w:ind w:left="4320" w:hanging="180"/>
      </w:pPr>
    </w:lvl>
    <w:lvl w:ilvl="6" w:tplc="1809000F" w:tentative="1">
      <w:start w:val="1"/>
      <w:numFmt w:val="decimal"/>
      <w:lvlText w:val="%7."/>
      <w:lvlJc w:val="left"/>
      <w:pPr>
        <w:tabs>
          <w:tab w:val="num" w:pos="5040"/>
        </w:tabs>
        <w:ind w:left="5040" w:hanging="360"/>
      </w:pPr>
    </w:lvl>
    <w:lvl w:ilvl="7" w:tplc="18090019" w:tentative="1">
      <w:start w:val="1"/>
      <w:numFmt w:val="lowerLetter"/>
      <w:lvlText w:val="%8."/>
      <w:lvlJc w:val="left"/>
      <w:pPr>
        <w:tabs>
          <w:tab w:val="num" w:pos="5760"/>
        </w:tabs>
        <w:ind w:left="5760" w:hanging="360"/>
      </w:pPr>
    </w:lvl>
    <w:lvl w:ilvl="8" w:tplc="1809001B" w:tentative="1">
      <w:start w:val="1"/>
      <w:numFmt w:val="lowerRoman"/>
      <w:lvlText w:val="%9."/>
      <w:lvlJc w:val="right"/>
      <w:pPr>
        <w:tabs>
          <w:tab w:val="num" w:pos="6480"/>
        </w:tabs>
        <w:ind w:left="6480" w:hanging="180"/>
      </w:pPr>
    </w:lvl>
  </w:abstractNum>
  <w:abstractNum w:abstractNumId="20">
    <w:nsid w:val="499B11C1"/>
    <w:multiLevelType w:val="multilevel"/>
    <w:tmpl w:val="CF28CB36"/>
    <w:lvl w:ilvl="0">
      <w:start w:val="1"/>
      <w:numFmt w:val="decimal"/>
      <w:pStyle w:val="ECCFiguretitle"/>
      <w:suff w:val="space"/>
      <w:lvlText w:val="Figure %1:"/>
      <w:lvlJc w:val="left"/>
      <w:pPr>
        <w:ind w:left="360" w:hanging="360"/>
      </w:pPr>
      <w:rPr>
        <w:rFonts w:ascii="Arial" w:hAnsi="Arial" w:hint="default"/>
        <w:b/>
        <w:i w:val="0"/>
        <w:color w:val="D2232A"/>
        <w:sz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nsid w:val="4E264B24"/>
    <w:multiLevelType w:val="multilevel"/>
    <w:tmpl w:val="8DB4B360"/>
    <w:styleLink w:val="ECCNumbers-Letters"/>
    <w:lvl w:ilvl="0">
      <w:start w:val="1"/>
      <w:numFmt w:val="decimal"/>
      <w:pStyle w:val="ECCNumbered-LetteredList"/>
      <w:lvlText w:val="%1."/>
      <w:lvlJc w:val="left"/>
      <w:pPr>
        <w:tabs>
          <w:tab w:val="num" w:pos="340"/>
        </w:tabs>
        <w:ind w:left="340" w:hanging="340"/>
      </w:pPr>
      <w:rPr>
        <w:rFonts w:ascii="Arial" w:hAnsi="Arial" w:hint="default"/>
        <w:b w:val="0"/>
        <w:i w:val="0"/>
        <w:color w:val="D2232A"/>
        <w:sz w:val="20"/>
      </w:rPr>
    </w:lvl>
    <w:lvl w:ilvl="1">
      <w:start w:val="1"/>
      <w:numFmt w:val="lowerLetter"/>
      <w:lvlText w:val="%2)"/>
      <w:lvlJc w:val="left"/>
      <w:pPr>
        <w:tabs>
          <w:tab w:val="num" w:pos="680"/>
        </w:tabs>
        <w:ind w:left="680" w:hanging="340"/>
      </w:pPr>
      <w:rPr>
        <w:rFonts w:ascii="Arial" w:hAnsi="Arial" w:hint="default"/>
        <w:b w:val="0"/>
        <w:i w:val="0"/>
        <w:color w:val="D2232A"/>
        <w:sz w:val="20"/>
      </w:rPr>
    </w:lvl>
    <w:lvl w:ilvl="2">
      <w:start w:val="1"/>
      <w:numFmt w:val="bullet"/>
      <w:lvlText w:val=""/>
      <w:lvlJc w:val="left"/>
      <w:pPr>
        <w:tabs>
          <w:tab w:val="num" w:pos="1021"/>
        </w:tabs>
        <w:ind w:left="1021" w:hanging="341"/>
      </w:pPr>
      <w:rPr>
        <w:rFonts w:ascii="Wingdings" w:hAnsi="Wingdings" w:hint="default"/>
        <w:color w:val="D2232A"/>
      </w:rPr>
    </w:lvl>
    <w:lvl w:ilvl="3">
      <w:start w:val="1"/>
      <w:numFmt w:val="none"/>
      <w:lvlText w:val=""/>
      <w:lvlJc w:val="left"/>
      <w:pPr>
        <w:tabs>
          <w:tab w:val="num" w:pos="1077"/>
        </w:tabs>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22">
    <w:nsid w:val="51A85168"/>
    <w:multiLevelType w:val="hybridMultilevel"/>
    <w:tmpl w:val="94D643A6"/>
    <w:lvl w:ilvl="0" w:tplc="73C4B67C">
      <w:start w:val="1"/>
      <w:numFmt w:val="bullet"/>
      <w:lvlText w:val=""/>
      <w:lvlJc w:val="left"/>
      <w:pPr>
        <w:ind w:left="779" w:hanging="360"/>
      </w:pPr>
      <w:rPr>
        <w:rFonts w:ascii="Symbol" w:hAnsi="Symbol" w:hint="default"/>
        <w:color w:val="C00000"/>
      </w:rPr>
    </w:lvl>
    <w:lvl w:ilvl="1" w:tplc="04060003" w:tentative="1">
      <w:start w:val="1"/>
      <w:numFmt w:val="bullet"/>
      <w:lvlText w:val="o"/>
      <w:lvlJc w:val="left"/>
      <w:pPr>
        <w:ind w:left="1499" w:hanging="360"/>
      </w:pPr>
      <w:rPr>
        <w:rFonts w:ascii="Courier New" w:hAnsi="Courier New" w:cs="Courier New" w:hint="default"/>
      </w:rPr>
    </w:lvl>
    <w:lvl w:ilvl="2" w:tplc="04060005" w:tentative="1">
      <w:start w:val="1"/>
      <w:numFmt w:val="bullet"/>
      <w:lvlText w:val=""/>
      <w:lvlJc w:val="left"/>
      <w:pPr>
        <w:ind w:left="2219" w:hanging="360"/>
      </w:pPr>
      <w:rPr>
        <w:rFonts w:ascii="Wingdings" w:hAnsi="Wingdings" w:hint="default"/>
      </w:rPr>
    </w:lvl>
    <w:lvl w:ilvl="3" w:tplc="04060001" w:tentative="1">
      <w:start w:val="1"/>
      <w:numFmt w:val="bullet"/>
      <w:lvlText w:val=""/>
      <w:lvlJc w:val="left"/>
      <w:pPr>
        <w:ind w:left="2939" w:hanging="360"/>
      </w:pPr>
      <w:rPr>
        <w:rFonts w:ascii="Symbol" w:hAnsi="Symbol" w:hint="default"/>
      </w:rPr>
    </w:lvl>
    <w:lvl w:ilvl="4" w:tplc="04060003" w:tentative="1">
      <w:start w:val="1"/>
      <w:numFmt w:val="bullet"/>
      <w:lvlText w:val="o"/>
      <w:lvlJc w:val="left"/>
      <w:pPr>
        <w:ind w:left="3659" w:hanging="360"/>
      </w:pPr>
      <w:rPr>
        <w:rFonts w:ascii="Courier New" w:hAnsi="Courier New" w:cs="Courier New" w:hint="default"/>
      </w:rPr>
    </w:lvl>
    <w:lvl w:ilvl="5" w:tplc="04060005" w:tentative="1">
      <w:start w:val="1"/>
      <w:numFmt w:val="bullet"/>
      <w:lvlText w:val=""/>
      <w:lvlJc w:val="left"/>
      <w:pPr>
        <w:ind w:left="4379" w:hanging="360"/>
      </w:pPr>
      <w:rPr>
        <w:rFonts w:ascii="Wingdings" w:hAnsi="Wingdings" w:hint="default"/>
      </w:rPr>
    </w:lvl>
    <w:lvl w:ilvl="6" w:tplc="04060001" w:tentative="1">
      <w:start w:val="1"/>
      <w:numFmt w:val="bullet"/>
      <w:lvlText w:val=""/>
      <w:lvlJc w:val="left"/>
      <w:pPr>
        <w:ind w:left="5099" w:hanging="360"/>
      </w:pPr>
      <w:rPr>
        <w:rFonts w:ascii="Symbol" w:hAnsi="Symbol" w:hint="default"/>
      </w:rPr>
    </w:lvl>
    <w:lvl w:ilvl="7" w:tplc="04060003" w:tentative="1">
      <w:start w:val="1"/>
      <w:numFmt w:val="bullet"/>
      <w:lvlText w:val="o"/>
      <w:lvlJc w:val="left"/>
      <w:pPr>
        <w:ind w:left="5819" w:hanging="360"/>
      </w:pPr>
      <w:rPr>
        <w:rFonts w:ascii="Courier New" w:hAnsi="Courier New" w:cs="Courier New" w:hint="default"/>
      </w:rPr>
    </w:lvl>
    <w:lvl w:ilvl="8" w:tplc="04060005" w:tentative="1">
      <w:start w:val="1"/>
      <w:numFmt w:val="bullet"/>
      <w:lvlText w:val=""/>
      <w:lvlJc w:val="left"/>
      <w:pPr>
        <w:ind w:left="6539" w:hanging="360"/>
      </w:pPr>
      <w:rPr>
        <w:rFonts w:ascii="Wingdings" w:hAnsi="Wingdings" w:hint="default"/>
      </w:rPr>
    </w:lvl>
  </w:abstractNum>
  <w:abstractNum w:abstractNumId="23">
    <w:nsid w:val="53BE5501"/>
    <w:multiLevelType w:val="hybridMultilevel"/>
    <w:tmpl w:val="C292D470"/>
    <w:lvl w:ilvl="0" w:tplc="73C4B67C">
      <w:start w:val="1"/>
      <w:numFmt w:val="bullet"/>
      <w:lvlText w:val=""/>
      <w:lvlJc w:val="left"/>
      <w:pPr>
        <w:ind w:left="720" w:hanging="360"/>
      </w:pPr>
      <w:rPr>
        <w:rFonts w:ascii="Symbol" w:hAnsi="Symbol" w:hint="default"/>
        <w:color w:val="C00000"/>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4">
    <w:nsid w:val="572326EE"/>
    <w:multiLevelType w:val="multilevel"/>
    <w:tmpl w:val="2034D866"/>
    <w:styleLink w:val="ECCNumbers-Bullets"/>
    <w:lvl w:ilvl="0">
      <w:start w:val="1"/>
      <w:numFmt w:val="decimal"/>
      <w:pStyle w:val="ECCNumberedBullets"/>
      <w:lvlText w:val="%1."/>
      <w:lvlJc w:val="left"/>
      <w:pPr>
        <w:tabs>
          <w:tab w:val="num" w:pos="340"/>
        </w:tabs>
        <w:ind w:left="340" w:hanging="340"/>
      </w:pPr>
      <w:rPr>
        <w:rFonts w:ascii="Arial" w:hAnsi="Arial" w:hint="default"/>
        <w:b w:val="0"/>
        <w:i w:val="0"/>
        <w:color w:val="D2232A"/>
        <w:sz w:val="20"/>
      </w:rPr>
    </w:lvl>
    <w:lvl w:ilvl="1">
      <w:start w:val="1"/>
      <w:numFmt w:val="bullet"/>
      <w:lvlText w:val=""/>
      <w:lvlJc w:val="left"/>
      <w:pPr>
        <w:tabs>
          <w:tab w:val="num" w:pos="680"/>
        </w:tabs>
        <w:ind w:left="680" w:hanging="340"/>
      </w:pPr>
      <w:rPr>
        <w:rFonts w:ascii="Wingdings" w:hAnsi="Wingdings" w:hint="default"/>
        <w:color w:val="D2232A"/>
      </w:rPr>
    </w:lvl>
    <w:lvl w:ilvl="2">
      <w:start w:val="1"/>
      <w:numFmt w:val="bullet"/>
      <w:lvlText w:val=""/>
      <w:lvlJc w:val="left"/>
      <w:pPr>
        <w:tabs>
          <w:tab w:val="num" w:pos="1021"/>
        </w:tabs>
        <w:ind w:left="1021" w:hanging="341"/>
      </w:pPr>
      <w:rPr>
        <w:rFonts w:ascii="Wingdings" w:hAnsi="Wingdings" w:hint="default"/>
        <w:color w:val="D2232A"/>
      </w:rPr>
    </w:lvl>
    <w:lvl w:ilvl="3">
      <w:start w:val="1"/>
      <w:numFmt w:val="decimal"/>
      <w:lvlText w:val="(%4)"/>
      <w:lvlJc w:val="left"/>
      <w:pPr>
        <w:ind w:left="1043" w:hanging="360"/>
      </w:pPr>
      <w:rPr>
        <w:rFonts w:hint="default"/>
      </w:rPr>
    </w:lvl>
    <w:lvl w:ilvl="4">
      <w:start w:val="1"/>
      <w:numFmt w:val="lowerLetter"/>
      <w:lvlText w:val="(%5)"/>
      <w:lvlJc w:val="left"/>
      <w:pPr>
        <w:ind w:left="1403" w:hanging="360"/>
      </w:pPr>
      <w:rPr>
        <w:rFonts w:hint="default"/>
      </w:rPr>
    </w:lvl>
    <w:lvl w:ilvl="5">
      <w:start w:val="1"/>
      <w:numFmt w:val="lowerRoman"/>
      <w:lvlText w:val="(%6)"/>
      <w:lvlJc w:val="left"/>
      <w:pPr>
        <w:ind w:left="1763" w:hanging="360"/>
      </w:pPr>
      <w:rPr>
        <w:rFonts w:hint="default"/>
      </w:rPr>
    </w:lvl>
    <w:lvl w:ilvl="6">
      <w:start w:val="1"/>
      <w:numFmt w:val="decimal"/>
      <w:lvlText w:val="%7."/>
      <w:lvlJc w:val="left"/>
      <w:pPr>
        <w:ind w:left="2123" w:hanging="360"/>
      </w:pPr>
      <w:rPr>
        <w:rFonts w:hint="default"/>
      </w:rPr>
    </w:lvl>
    <w:lvl w:ilvl="7">
      <w:start w:val="1"/>
      <w:numFmt w:val="lowerLetter"/>
      <w:lvlText w:val="%8."/>
      <w:lvlJc w:val="left"/>
      <w:pPr>
        <w:ind w:left="2483" w:hanging="360"/>
      </w:pPr>
      <w:rPr>
        <w:rFonts w:hint="default"/>
      </w:rPr>
    </w:lvl>
    <w:lvl w:ilvl="8">
      <w:start w:val="1"/>
      <w:numFmt w:val="lowerRoman"/>
      <w:lvlText w:val="%9."/>
      <w:lvlJc w:val="left"/>
      <w:pPr>
        <w:ind w:left="2843" w:hanging="360"/>
      </w:pPr>
      <w:rPr>
        <w:rFonts w:hint="default"/>
      </w:rPr>
    </w:lvl>
  </w:abstractNum>
  <w:abstractNum w:abstractNumId="25">
    <w:nsid w:val="57314815"/>
    <w:multiLevelType w:val="hybridMultilevel"/>
    <w:tmpl w:val="3420273A"/>
    <w:lvl w:ilvl="0" w:tplc="7718333A">
      <w:start w:val="1"/>
      <w:numFmt w:val="decimal"/>
      <w:pStyle w:val="ECCFormulatitle"/>
      <w:lvlText w:val="Formula %1:"/>
      <w:lvlJc w:val="left"/>
      <w:pPr>
        <w:ind w:left="720" w:hanging="360"/>
      </w:pPr>
      <w:rPr>
        <w:rFonts w:ascii="Arial" w:hAnsi="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7482220"/>
    <w:multiLevelType w:val="hybridMultilevel"/>
    <w:tmpl w:val="CFD8501A"/>
    <w:lvl w:ilvl="0" w:tplc="73C4B67C">
      <w:start w:val="1"/>
      <w:numFmt w:val="bullet"/>
      <w:lvlText w:val=""/>
      <w:lvlJc w:val="left"/>
      <w:pPr>
        <w:ind w:left="720" w:hanging="360"/>
      </w:pPr>
      <w:rPr>
        <w:rFonts w:ascii="Symbol" w:hAnsi="Symbol" w:hint="default"/>
        <w:color w:val="C00000"/>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7">
    <w:nsid w:val="5C9214DC"/>
    <w:multiLevelType w:val="multilevel"/>
    <w:tmpl w:val="0AD4A2D4"/>
    <w:lvl w:ilvl="0">
      <w:start w:val="1"/>
      <w:numFmt w:val="decimal"/>
      <w:lvlText w:val="%1."/>
      <w:lvlJc w:val="left"/>
      <w:pPr>
        <w:tabs>
          <w:tab w:val="num" w:pos="340"/>
        </w:tabs>
        <w:ind w:left="340" w:hanging="340"/>
      </w:pPr>
      <w:rPr>
        <w:rFonts w:ascii="Arial" w:hAnsi="Arial" w:hint="default"/>
        <w:b w:val="0"/>
        <w:i w:val="0"/>
        <w:color w:val="D2232A"/>
        <w:sz w:val="20"/>
      </w:rPr>
    </w:lvl>
    <w:lvl w:ilvl="1">
      <w:start w:val="1"/>
      <w:numFmt w:val="bullet"/>
      <w:lvlText w:val=""/>
      <w:lvlJc w:val="left"/>
      <w:pPr>
        <w:tabs>
          <w:tab w:val="num" w:pos="680"/>
        </w:tabs>
        <w:ind w:left="680" w:hanging="340"/>
      </w:pPr>
      <w:rPr>
        <w:rFonts w:ascii="Wingdings" w:hAnsi="Wingdings" w:hint="default"/>
        <w:color w:val="D2232A"/>
      </w:rPr>
    </w:lvl>
    <w:lvl w:ilvl="2">
      <w:start w:val="1"/>
      <w:numFmt w:val="bullet"/>
      <w:lvlText w:val=""/>
      <w:lvlJc w:val="left"/>
      <w:pPr>
        <w:tabs>
          <w:tab w:val="num" w:pos="1021"/>
        </w:tabs>
        <w:ind w:left="1021" w:hanging="341"/>
      </w:pPr>
      <w:rPr>
        <w:rFonts w:ascii="Wingdings" w:hAnsi="Wingdings" w:hint="default"/>
        <w:color w:val="D2232A"/>
      </w:rPr>
    </w:lvl>
    <w:lvl w:ilvl="3">
      <w:start w:val="1"/>
      <w:numFmt w:val="decimal"/>
      <w:lvlText w:val="(%4)"/>
      <w:lvlJc w:val="left"/>
      <w:pPr>
        <w:ind w:left="1043" w:hanging="360"/>
      </w:pPr>
      <w:rPr>
        <w:rFonts w:hint="default"/>
      </w:rPr>
    </w:lvl>
    <w:lvl w:ilvl="4">
      <w:start w:val="1"/>
      <w:numFmt w:val="lowerLetter"/>
      <w:lvlText w:val="(%5)"/>
      <w:lvlJc w:val="left"/>
      <w:pPr>
        <w:ind w:left="1403" w:hanging="360"/>
      </w:pPr>
      <w:rPr>
        <w:rFonts w:hint="default"/>
      </w:rPr>
    </w:lvl>
    <w:lvl w:ilvl="5">
      <w:start w:val="1"/>
      <w:numFmt w:val="lowerRoman"/>
      <w:lvlText w:val="(%6)"/>
      <w:lvlJc w:val="left"/>
      <w:pPr>
        <w:ind w:left="1763" w:hanging="360"/>
      </w:pPr>
      <w:rPr>
        <w:rFonts w:hint="default"/>
      </w:rPr>
    </w:lvl>
    <w:lvl w:ilvl="6">
      <w:start w:val="1"/>
      <w:numFmt w:val="decimal"/>
      <w:lvlText w:val="%7."/>
      <w:lvlJc w:val="left"/>
      <w:pPr>
        <w:ind w:left="2123" w:hanging="360"/>
      </w:pPr>
      <w:rPr>
        <w:rFonts w:hint="default"/>
      </w:rPr>
    </w:lvl>
    <w:lvl w:ilvl="7">
      <w:start w:val="1"/>
      <w:numFmt w:val="lowerLetter"/>
      <w:lvlText w:val="%8."/>
      <w:lvlJc w:val="left"/>
      <w:pPr>
        <w:ind w:left="2483" w:hanging="360"/>
      </w:pPr>
      <w:rPr>
        <w:rFonts w:hint="default"/>
      </w:rPr>
    </w:lvl>
    <w:lvl w:ilvl="8">
      <w:start w:val="1"/>
      <w:numFmt w:val="lowerRoman"/>
      <w:lvlText w:val="%9."/>
      <w:lvlJc w:val="left"/>
      <w:pPr>
        <w:ind w:left="2843" w:hanging="360"/>
      </w:pPr>
      <w:rPr>
        <w:rFonts w:hint="default"/>
      </w:rPr>
    </w:lvl>
  </w:abstractNum>
  <w:abstractNum w:abstractNumId="28">
    <w:nsid w:val="5D1D6380"/>
    <w:multiLevelType w:val="multilevel"/>
    <w:tmpl w:val="8DB4B360"/>
    <w:lvl w:ilvl="0">
      <w:start w:val="1"/>
      <w:numFmt w:val="decimal"/>
      <w:lvlText w:val="%1."/>
      <w:lvlJc w:val="left"/>
      <w:pPr>
        <w:tabs>
          <w:tab w:val="num" w:pos="340"/>
        </w:tabs>
        <w:ind w:left="340" w:hanging="340"/>
      </w:pPr>
      <w:rPr>
        <w:rFonts w:ascii="Arial" w:hAnsi="Arial" w:hint="default"/>
        <w:b w:val="0"/>
        <w:i w:val="0"/>
        <w:color w:val="D2232A"/>
        <w:sz w:val="20"/>
      </w:rPr>
    </w:lvl>
    <w:lvl w:ilvl="1">
      <w:start w:val="1"/>
      <w:numFmt w:val="lowerLetter"/>
      <w:lvlText w:val="%2)"/>
      <w:lvlJc w:val="left"/>
      <w:pPr>
        <w:tabs>
          <w:tab w:val="num" w:pos="680"/>
        </w:tabs>
        <w:ind w:left="680" w:hanging="340"/>
      </w:pPr>
      <w:rPr>
        <w:rFonts w:ascii="Arial" w:hAnsi="Arial" w:hint="default"/>
        <w:b w:val="0"/>
        <w:i w:val="0"/>
        <w:color w:val="D2232A"/>
        <w:sz w:val="20"/>
      </w:rPr>
    </w:lvl>
    <w:lvl w:ilvl="2">
      <w:start w:val="1"/>
      <w:numFmt w:val="bullet"/>
      <w:lvlText w:val=""/>
      <w:lvlJc w:val="left"/>
      <w:pPr>
        <w:tabs>
          <w:tab w:val="num" w:pos="1021"/>
        </w:tabs>
        <w:ind w:left="1021" w:hanging="341"/>
      </w:pPr>
      <w:rPr>
        <w:rFonts w:ascii="Wingdings" w:hAnsi="Wingdings" w:hint="default"/>
        <w:color w:val="D2232A"/>
      </w:rPr>
    </w:lvl>
    <w:lvl w:ilvl="3">
      <w:start w:val="1"/>
      <w:numFmt w:val="none"/>
      <w:lvlText w:val=""/>
      <w:lvlJc w:val="left"/>
      <w:pPr>
        <w:tabs>
          <w:tab w:val="num" w:pos="1077"/>
        </w:tabs>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29">
    <w:nsid w:val="5EB17E7F"/>
    <w:multiLevelType w:val="hybridMultilevel"/>
    <w:tmpl w:val="35207D74"/>
    <w:lvl w:ilvl="0" w:tplc="C928A84A">
      <w:start w:val="1"/>
      <w:numFmt w:val="decimal"/>
      <w:lvlText w:val="%1."/>
      <w:lvlJc w:val="left"/>
      <w:pPr>
        <w:ind w:left="1620" w:hanging="360"/>
      </w:pPr>
      <w:rPr>
        <w:rFonts w:hint="default"/>
        <w:color w:val="C00000"/>
      </w:rPr>
    </w:lvl>
    <w:lvl w:ilvl="1" w:tplc="04060019" w:tentative="1">
      <w:start w:val="1"/>
      <w:numFmt w:val="lowerLetter"/>
      <w:lvlText w:val="%2."/>
      <w:lvlJc w:val="left"/>
      <w:pPr>
        <w:ind w:left="2340" w:hanging="360"/>
      </w:pPr>
    </w:lvl>
    <w:lvl w:ilvl="2" w:tplc="0406001B" w:tentative="1">
      <w:start w:val="1"/>
      <w:numFmt w:val="lowerRoman"/>
      <w:lvlText w:val="%3."/>
      <w:lvlJc w:val="right"/>
      <w:pPr>
        <w:ind w:left="3060" w:hanging="180"/>
      </w:pPr>
    </w:lvl>
    <w:lvl w:ilvl="3" w:tplc="0406000F" w:tentative="1">
      <w:start w:val="1"/>
      <w:numFmt w:val="decimal"/>
      <w:lvlText w:val="%4."/>
      <w:lvlJc w:val="left"/>
      <w:pPr>
        <w:ind w:left="3780" w:hanging="360"/>
      </w:pPr>
    </w:lvl>
    <w:lvl w:ilvl="4" w:tplc="04060019" w:tentative="1">
      <w:start w:val="1"/>
      <w:numFmt w:val="lowerLetter"/>
      <w:lvlText w:val="%5."/>
      <w:lvlJc w:val="left"/>
      <w:pPr>
        <w:ind w:left="4500" w:hanging="360"/>
      </w:pPr>
    </w:lvl>
    <w:lvl w:ilvl="5" w:tplc="0406001B" w:tentative="1">
      <w:start w:val="1"/>
      <w:numFmt w:val="lowerRoman"/>
      <w:lvlText w:val="%6."/>
      <w:lvlJc w:val="right"/>
      <w:pPr>
        <w:ind w:left="5220" w:hanging="180"/>
      </w:pPr>
    </w:lvl>
    <w:lvl w:ilvl="6" w:tplc="0406000F" w:tentative="1">
      <w:start w:val="1"/>
      <w:numFmt w:val="decimal"/>
      <w:lvlText w:val="%7."/>
      <w:lvlJc w:val="left"/>
      <w:pPr>
        <w:ind w:left="5940" w:hanging="360"/>
      </w:pPr>
    </w:lvl>
    <w:lvl w:ilvl="7" w:tplc="04060019" w:tentative="1">
      <w:start w:val="1"/>
      <w:numFmt w:val="lowerLetter"/>
      <w:lvlText w:val="%8."/>
      <w:lvlJc w:val="left"/>
      <w:pPr>
        <w:ind w:left="6660" w:hanging="360"/>
      </w:pPr>
    </w:lvl>
    <w:lvl w:ilvl="8" w:tplc="0406001B" w:tentative="1">
      <w:start w:val="1"/>
      <w:numFmt w:val="lowerRoman"/>
      <w:lvlText w:val="%9."/>
      <w:lvlJc w:val="right"/>
      <w:pPr>
        <w:ind w:left="7380" w:hanging="180"/>
      </w:pPr>
    </w:lvl>
  </w:abstractNum>
  <w:abstractNum w:abstractNumId="30">
    <w:nsid w:val="66120E4B"/>
    <w:multiLevelType w:val="hybridMultilevel"/>
    <w:tmpl w:val="545E1FCC"/>
    <w:lvl w:ilvl="0" w:tplc="46C2FE9A">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1">
    <w:nsid w:val="66E36C84"/>
    <w:multiLevelType w:val="multilevel"/>
    <w:tmpl w:val="FCEC7FBC"/>
    <w:numStyleLink w:val="ECCBullets"/>
  </w:abstractNum>
  <w:abstractNum w:abstractNumId="32">
    <w:nsid w:val="71EC350B"/>
    <w:multiLevelType w:val="multilevel"/>
    <w:tmpl w:val="CB1A2F26"/>
    <w:lvl w:ilvl="0">
      <w:numFmt w:val="decimal"/>
      <w:lvlText w:val="%1"/>
      <w:lvlJc w:val="left"/>
      <w:pPr>
        <w:tabs>
          <w:tab w:val="num" w:pos="432"/>
        </w:tabs>
        <w:ind w:left="432" w:hanging="432"/>
      </w:pPr>
      <w:rPr>
        <w:rFonts w:ascii="Arial" w:hAnsi="Arial" w:hint="default"/>
        <w:b/>
        <w:i w:val="0"/>
        <w:color w:val="D2232A"/>
        <w:sz w:val="20"/>
        <w:szCs w:val="20"/>
      </w:rPr>
    </w:lvl>
    <w:lvl w:ilvl="1">
      <w:start w:val="1"/>
      <w:numFmt w:val="decimal"/>
      <w:lvlText w:val="%1.%2"/>
      <w:lvlJc w:val="left"/>
      <w:pPr>
        <w:tabs>
          <w:tab w:val="num" w:pos="576"/>
        </w:tabs>
        <w:ind w:left="576" w:hanging="576"/>
      </w:pPr>
      <w:rPr>
        <w:rFonts w:ascii="Arial" w:hAnsi="Arial" w:hint="default"/>
        <w:b/>
        <w:i w:val="0"/>
        <w:sz w:val="20"/>
      </w:rPr>
    </w:lvl>
    <w:lvl w:ilvl="2">
      <w:start w:val="1"/>
      <w:numFmt w:val="decimal"/>
      <w:lvlText w:val="%1.%2.%3"/>
      <w:lvlJc w:val="left"/>
      <w:pPr>
        <w:tabs>
          <w:tab w:val="num" w:pos="720"/>
        </w:tabs>
        <w:ind w:left="720" w:hanging="720"/>
      </w:pPr>
      <w:rPr>
        <w:rFonts w:ascii="Arial" w:hAnsi="Arial" w:hint="default"/>
        <w:b/>
        <w:i w:val="0"/>
        <w:caps w:val="0"/>
        <w:sz w:val="20"/>
        <w:szCs w:val="20"/>
      </w:rPr>
    </w:lvl>
    <w:lvl w:ilvl="3">
      <w:start w:val="1"/>
      <w:numFmt w:val="decimal"/>
      <w:lvlText w:val="%1.%2.%3.%4"/>
      <w:lvlJc w:val="left"/>
      <w:pPr>
        <w:tabs>
          <w:tab w:val="num" w:pos="864"/>
        </w:tabs>
        <w:ind w:left="864" w:hanging="864"/>
      </w:pPr>
      <w:rPr>
        <w:rFonts w:ascii="Arial" w:hAnsi="Arial" w:hint="default"/>
        <w:b w:val="0"/>
        <w:i/>
        <w:sz w:val="20"/>
      </w:rPr>
    </w:lvl>
    <w:lvl w:ilvl="4">
      <w:start w:val="1"/>
      <w:numFmt w:val="decimal"/>
      <w:lvlText w:val="%1.%2.%3.%4.%5"/>
      <w:lvlJc w:val="left"/>
      <w:pPr>
        <w:tabs>
          <w:tab w:val="num" w:pos="1008"/>
        </w:tabs>
        <w:ind w:left="1008" w:hanging="1008"/>
      </w:pPr>
      <w:rPr>
        <w:rFonts w:hint="default"/>
        <w:sz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768407D3"/>
    <w:multiLevelType w:val="hybridMultilevel"/>
    <w:tmpl w:val="C86EC0AC"/>
    <w:lvl w:ilvl="0" w:tplc="73C4B67C">
      <w:start w:val="1"/>
      <w:numFmt w:val="bullet"/>
      <w:lvlText w:val=""/>
      <w:lvlJc w:val="left"/>
      <w:pPr>
        <w:ind w:left="720" w:hanging="360"/>
      </w:pPr>
      <w:rPr>
        <w:rFonts w:ascii="Symbol" w:hAnsi="Symbol" w:hint="default"/>
        <w:color w:val="C00000"/>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4">
    <w:nsid w:val="7B3212E4"/>
    <w:multiLevelType w:val="multilevel"/>
    <w:tmpl w:val="A724997C"/>
    <w:lvl w:ilvl="0">
      <w:start w:val="1"/>
      <w:numFmt w:val="decimal"/>
      <w:pStyle w:val="ECCTabletitle"/>
      <w:suff w:val="space"/>
      <w:lvlText w:val="Table %1:"/>
      <w:lvlJc w:val="left"/>
      <w:pPr>
        <w:ind w:left="360" w:hanging="360"/>
      </w:pPr>
      <w:rPr>
        <w:rFonts w:ascii="Arial" w:hAnsi="Arial" w:hint="default"/>
        <w:b/>
        <w:i w:val="0"/>
        <w:color w:val="D2232A"/>
        <w:sz w:val="2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4"/>
  </w:num>
  <w:num w:numId="2">
    <w:abstractNumId w:val="15"/>
  </w:num>
  <w:num w:numId="3">
    <w:abstractNumId w:val="34"/>
  </w:num>
  <w:num w:numId="4">
    <w:abstractNumId w:val="20"/>
  </w:num>
  <w:num w:numId="5">
    <w:abstractNumId w:val="5"/>
  </w:num>
  <w:num w:numId="6">
    <w:abstractNumId w:val="17"/>
  </w:num>
  <w:num w:numId="7">
    <w:abstractNumId w:val="17"/>
    <w:lvlOverride w:ilvl="0">
      <w:startOverride w:val="1"/>
    </w:lvlOverride>
  </w:num>
  <w:num w:numId="8">
    <w:abstractNumId w:val="2"/>
  </w:num>
  <w:num w:numId="9">
    <w:abstractNumId w:val="31"/>
  </w:num>
  <w:num w:numId="10">
    <w:abstractNumId w:val="27"/>
  </w:num>
  <w:num w:numId="11">
    <w:abstractNumId w:val="18"/>
  </w:num>
  <w:num w:numId="12">
    <w:abstractNumId w:val="13"/>
  </w:num>
  <w:num w:numId="13">
    <w:abstractNumId w:val="28"/>
  </w:num>
  <w:num w:numId="14">
    <w:abstractNumId w:val="24"/>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num>
  <w:num w:numId="19">
    <w:abstractNumId w:val="25"/>
  </w:num>
  <w:num w:numId="20">
    <w:abstractNumId w:val="30"/>
  </w:num>
  <w:num w:numId="21">
    <w:abstractNumId w:val="19"/>
  </w:num>
  <w:num w:numId="22">
    <w:abstractNumId w:val="16"/>
  </w:num>
  <w:num w:numId="23">
    <w:abstractNumId w:val="1"/>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num>
  <w:num w:numId="25">
    <w:abstractNumId w:val="12"/>
  </w:num>
  <w:num w:numId="26">
    <w:abstractNumId w:val="29"/>
  </w:num>
  <w:num w:numId="27">
    <w:abstractNumId w:val="9"/>
  </w:num>
  <w:num w:numId="28">
    <w:abstractNumId w:val="15"/>
  </w:num>
  <w:num w:numId="29">
    <w:abstractNumId w:val="15"/>
  </w:num>
  <w:num w:numId="30">
    <w:abstractNumId w:val="15"/>
  </w:num>
  <w:num w:numId="31">
    <w:abstractNumId w:val="15"/>
  </w:num>
  <w:num w:numId="32">
    <w:abstractNumId w:val="10"/>
  </w:num>
  <w:num w:numId="33">
    <w:abstractNumId w:val="14"/>
  </w:num>
  <w:num w:numId="34">
    <w:abstractNumId w:val="11"/>
  </w:num>
  <w:num w:numId="35">
    <w:abstractNumId w:val="26"/>
  </w:num>
  <w:num w:numId="36">
    <w:abstractNumId w:val="7"/>
  </w:num>
  <w:num w:numId="37">
    <w:abstractNumId w:val="6"/>
  </w:num>
  <w:num w:numId="38">
    <w:abstractNumId w:val="23"/>
  </w:num>
  <w:num w:numId="39">
    <w:abstractNumId w:val="8"/>
  </w:num>
  <w:num w:numId="40">
    <w:abstractNumId w:val="0"/>
  </w:num>
  <w:num w:numId="41">
    <w:abstractNumId w:val="33"/>
  </w:num>
  <w:num w:numId="42">
    <w:abstractNumId w:val="3"/>
  </w:num>
  <w:num w:numId="43">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hyphenationZone w:val="425"/>
  <w:evenAndOddHeaders/>
  <w:characterSpacingControl w:val="doNotCompress"/>
  <w:hdrShapeDefaults>
    <o:shapedefaults v:ext="edit" spidmax="6145">
      <o:colormru v:ext="edit" colors="#7b6c58,#887e6e,#b0a696"/>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2D4"/>
    <w:rsid w:val="00004B1A"/>
    <w:rsid w:val="000512CB"/>
    <w:rsid w:val="00077796"/>
    <w:rsid w:val="00102F08"/>
    <w:rsid w:val="0019635F"/>
    <w:rsid w:val="001A06A7"/>
    <w:rsid w:val="00224D2A"/>
    <w:rsid w:val="00274F84"/>
    <w:rsid w:val="003058A6"/>
    <w:rsid w:val="003B5425"/>
    <w:rsid w:val="00457533"/>
    <w:rsid w:val="00477344"/>
    <w:rsid w:val="00483B30"/>
    <w:rsid w:val="004940CA"/>
    <w:rsid w:val="004B184C"/>
    <w:rsid w:val="00532580"/>
    <w:rsid w:val="00550D79"/>
    <w:rsid w:val="00557B5A"/>
    <w:rsid w:val="00594186"/>
    <w:rsid w:val="005D6854"/>
    <w:rsid w:val="006863E3"/>
    <w:rsid w:val="006E13B9"/>
    <w:rsid w:val="00734A4F"/>
    <w:rsid w:val="00763BA3"/>
    <w:rsid w:val="00767BB2"/>
    <w:rsid w:val="00797D4C"/>
    <w:rsid w:val="008A54FC"/>
    <w:rsid w:val="008B70CD"/>
    <w:rsid w:val="008E3FB3"/>
    <w:rsid w:val="008E718D"/>
    <w:rsid w:val="008F32D1"/>
    <w:rsid w:val="008F612F"/>
    <w:rsid w:val="009E47EB"/>
    <w:rsid w:val="009E4DEF"/>
    <w:rsid w:val="009E51D5"/>
    <w:rsid w:val="009E5E91"/>
    <w:rsid w:val="00A076B5"/>
    <w:rsid w:val="00A2101D"/>
    <w:rsid w:val="00A337B5"/>
    <w:rsid w:val="00A472B6"/>
    <w:rsid w:val="00AA54AA"/>
    <w:rsid w:val="00B30D3B"/>
    <w:rsid w:val="00B432D4"/>
    <w:rsid w:val="00B60A89"/>
    <w:rsid w:val="00BC3F4C"/>
    <w:rsid w:val="00CA31CD"/>
    <w:rsid w:val="00CE6D6B"/>
    <w:rsid w:val="00DD1D4B"/>
    <w:rsid w:val="00DF2C67"/>
    <w:rsid w:val="00E21378"/>
    <w:rsid w:val="00E30B65"/>
    <w:rsid w:val="00E602C9"/>
    <w:rsid w:val="00E71AE7"/>
    <w:rsid w:val="00E77ECD"/>
    <w:rsid w:val="00E84921"/>
    <w:rsid w:val="00EA6088"/>
    <w:rsid w:val="00ED334C"/>
    <w:rsid w:val="00F26FB4"/>
  </w:rsids>
  <m:mathPr>
    <m:mathFont m:val="Cambria Math"/>
    <m:brkBin m:val="before"/>
    <m:brkBinSub m:val="--"/>
    <m:smallFrac m:val="0"/>
    <m:dispDef m:val="0"/>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metricconverter"/>
  <w:shapeDefaults>
    <o:shapedefaults v:ext="edit" spidmax="6145">
      <o:colormru v:ext="edit" colors="#7b6c58,#887e6e,#b0a696"/>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5C7C"/>
    <w:rPr>
      <w:rFonts w:ascii="Arial" w:hAnsi="Arial"/>
      <w:szCs w:val="24"/>
      <w:lang w:val="en-US"/>
    </w:rPr>
  </w:style>
  <w:style w:type="paragraph" w:styleId="Heading1">
    <w:name w:val="heading 1"/>
    <w:aliases w:val="ECC Heading 1"/>
    <w:basedOn w:val="Normal"/>
    <w:next w:val="ECCParagraph"/>
    <w:autoRedefine/>
    <w:qFormat/>
    <w:rsid w:val="00A472B6"/>
    <w:pPr>
      <w:keepNext/>
      <w:pageBreakBefore/>
      <w:numPr>
        <w:numId w:val="2"/>
      </w:numPr>
      <w:tabs>
        <w:tab w:val="clear" w:pos="8370"/>
        <w:tab w:val="num" w:pos="567"/>
      </w:tabs>
      <w:spacing w:before="600" w:after="240"/>
      <w:ind w:hanging="8370"/>
      <w:outlineLvl w:val="0"/>
    </w:pPr>
    <w:rPr>
      <w:rFonts w:cs="Arial"/>
      <w:b/>
      <w:bCs/>
      <w:caps/>
      <w:color w:val="D2232A"/>
      <w:kern w:val="32"/>
      <w:szCs w:val="32"/>
      <w:lang w:val="en-GB"/>
    </w:rPr>
  </w:style>
  <w:style w:type="paragraph" w:styleId="Heading2">
    <w:name w:val="heading 2"/>
    <w:aliases w:val="ECC Heading 2"/>
    <w:basedOn w:val="Normal"/>
    <w:next w:val="ECCParagraph"/>
    <w:autoRedefine/>
    <w:qFormat/>
    <w:rsid w:val="00DF2C67"/>
    <w:pPr>
      <w:keepNext/>
      <w:numPr>
        <w:ilvl w:val="1"/>
        <w:numId w:val="2"/>
      </w:numPr>
      <w:spacing w:before="480" w:after="240"/>
      <w:outlineLvl w:val="1"/>
    </w:pPr>
    <w:rPr>
      <w:rFonts w:cs="Arial"/>
      <w:b/>
      <w:bCs/>
      <w:iCs/>
      <w:caps/>
      <w:szCs w:val="28"/>
    </w:rPr>
  </w:style>
  <w:style w:type="paragraph" w:styleId="Heading3">
    <w:name w:val="heading 3"/>
    <w:aliases w:val="ECC Heading 3"/>
    <w:basedOn w:val="Normal"/>
    <w:next w:val="ECCParagraph"/>
    <w:autoRedefine/>
    <w:qFormat/>
    <w:rsid w:val="009E47EB"/>
    <w:pPr>
      <w:keepNext/>
      <w:numPr>
        <w:ilvl w:val="2"/>
        <w:numId w:val="2"/>
      </w:numPr>
      <w:spacing w:before="360" w:after="120"/>
      <w:outlineLvl w:val="2"/>
    </w:pPr>
    <w:rPr>
      <w:rFonts w:cs="Arial"/>
      <w:b/>
      <w:bCs/>
      <w:szCs w:val="26"/>
    </w:rPr>
  </w:style>
  <w:style w:type="paragraph" w:styleId="Heading4">
    <w:name w:val="heading 4"/>
    <w:aliases w:val="ECC Heading 4"/>
    <w:basedOn w:val="Normal"/>
    <w:next w:val="ECCParagraph"/>
    <w:autoRedefine/>
    <w:qFormat/>
    <w:rsid w:val="00767BB2"/>
    <w:pPr>
      <w:numPr>
        <w:ilvl w:val="3"/>
        <w:numId w:val="2"/>
      </w:numPr>
      <w:spacing w:before="360" w:after="120"/>
      <w:outlineLvl w:val="3"/>
    </w:pPr>
    <w:rPr>
      <w:rFonts w:cs="Arial"/>
      <w:bCs/>
      <w:i/>
      <w:color w:val="D2232A"/>
      <w:szCs w:val="26"/>
    </w:rPr>
  </w:style>
  <w:style w:type="paragraph" w:styleId="Heading5">
    <w:name w:val="heading 5"/>
    <w:basedOn w:val="Normal"/>
    <w:next w:val="Normal"/>
    <w:qFormat/>
    <w:rsid w:val="009E47EB"/>
    <w:pPr>
      <w:numPr>
        <w:ilvl w:val="4"/>
        <w:numId w:val="2"/>
      </w:numPr>
      <w:spacing w:before="240" w:after="60"/>
      <w:outlineLvl w:val="4"/>
    </w:pPr>
    <w:rPr>
      <w:b/>
      <w:bCs/>
      <w:i/>
      <w:iCs/>
      <w:sz w:val="26"/>
      <w:szCs w:val="26"/>
    </w:rPr>
  </w:style>
  <w:style w:type="paragraph" w:styleId="Heading6">
    <w:name w:val="heading 6"/>
    <w:basedOn w:val="Normal"/>
    <w:next w:val="Normal"/>
    <w:qFormat/>
    <w:rsid w:val="009E47EB"/>
    <w:pPr>
      <w:numPr>
        <w:ilvl w:val="5"/>
        <w:numId w:val="2"/>
      </w:numPr>
      <w:spacing w:before="240" w:after="60"/>
      <w:outlineLvl w:val="5"/>
    </w:pPr>
    <w:rPr>
      <w:b/>
      <w:bCs/>
      <w:sz w:val="22"/>
      <w:szCs w:val="22"/>
    </w:rPr>
  </w:style>
  <w:style w:type="paragraph" w:styleId="Heading7">
    <w:name w:val="heading 7"/>
    <w:basedOn w:val="Normal"/>
    <w:next w:val="Normal"/>
    <w:qFormat/>
    <w:rsid w:val="009E47EB"/>
    <w:pPr>
      <w:numPr>
        <w:ilvl w:val="6"/>
        <w:numId w:val="2"/>
      </w:numPr>
      <w:spacing w:before="240" w:after="60"/>
      <w:outlineLvl w:val="6"/>
    </w:pPr>
    <w:rPr>
      <w:sz w:val="24"/>
    </w:rPr>
  </w:style>
  <w:style w:type="paragraph" w:styleId="Heading8">
    <w:name w:val="heading 8"/>
    <w:basedOn w:val="Normal"/>
    <w:next w:val="Normal"/>
    <w:qFormat/>
    <w:rsid w:val="009E47EB"/>
    <w:pPr>
      <w:numPr>
        <w:ilvl w:val="7"/>
        <w:numId w:val="2"/>
      </w:numPr>
      <w:spacing w:before="240" w:after="60"/>
      <w:outlineLvl w:val="7"/>
    </w:pPr>
    <w:rPr>
      <w:i/>
      <w:iCs/>
      <w:sz w:val="24"/>
    </w:rPr>
  </w:style>
  <w:style w:type="paragraph" w:styleId="Heading9">
    <w:name w:val="heading 9"/>
    <w:basedOn w:val="Normal"/>
    <w:next w:val="Normal"/>
    <w:qFormat/>
    <w:rsid w:val="009E47EB"/>
    <w:pPr>
      <w:numPr>
        <w:ilvl w:val="8"/>
        <w:numId w:val="2"/>
      </w:num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CParagraph">
    <w:name w:val="ECC Paragraph"/>
    <w:basedOn w:val="Normal"/>
    <w:rsid w:val="004E66F0"/>
    <w:pPr>
      <w:spacing w:after="240"/>
      <w:jc w:val="both"/>
    </w:pPr>
    <w:rPr>
      <w:lang w:val="en-GB"/>
    </w:rPr>
  </w:style>
  <w:style w:type="paragraph" w:customStyle="1" w:styleId="ECCParBulleted">
    <w:name w:val="ECC Par Bulleted"/>
    <w:basedOn w:val="ECCParagraph"/>
    <w:rsid w:val="00CB0AD7"/>
    <w:pPr>
      <w:numPr>
        <w:numId w:val="1"/>
      </w:numPr>
      <w:spacing w:after="0"/>
    </w:pPr>
  </w:style>
  <w:style w:type="paragraph" w:styleId="Header">
    <w:name w:val="header"/>
    <w:basedOn w:val="Normal"/>
    <w:rsid w:val="00C95C7C"/>
    <w:pPr>
      <w:tabs>
        <w:tab w:val="center" w:pos="4320"/>
        <w:tab w:val="right" w:pos="8640"/>
      </w:tabs>
    </w:pPr>
    <w:rPr>
      <w:b/>
      <w:sz w:val="16"/>
    </w:rPr>
  </w:style>
  <w:style w:type="paragraph" w:styleId="Footer">
    <w:name w:val="footer"/>
    <w:basedOn w:val="Normal"/>
    <w:rsid w:val="0077244E"/>
    <w:pPr>
      <w:tabs>
        <w:tab w:val="center" w:pos="4320"/>
        <w:tab w:val="right" w:pos="8640"/>
      </w:tabs>
    </w:pPr>
  </w:style>
  <w:style w:type="paragraph" w:customStyle="1" w:styleId="ECCAnnexheading1">
    <w:name w:val="ECC Annex heading1"/>
    <w:basedOn w:val="Heading1"/>
    <w:next w:val="ECCParagraph"/>
    <w:rsid w:val="00550D79"/>
    <w:pPr>
      <w:numPr>
        <w:numId w:val="5"/>
      </w:numPr>
    </w:pPr>
  </w:style>
  <w:style w:type="paragraph" w:styleId="TOC1">
    <w:name w:val="toc 1"/>
    <w:basedOn w:val="Normal"/>
    <w:next w:val="Normal"/>
    <w:autoRedefine/>
    <w:uiPriority w:val="39"/>
    <w:rsid w:val="00EA7A83"/>
    <w:pPr>
      <w:tabs>
        <w:tab w:val="left" w:pos="360"/>
        <w:tab w:val="right" w:leader="dot" w:pos="9629"/>
      </w:tabs>
      <w:spacing w:before="240"/>
    </w:pPr>
    <w:rPr>
      <w:b/>
      <w:caps/>
    </w:rPr>
  </w:style>
  <w:style w:type="character" w:styleId="Hyperlink">
    <w:name w:val="Hyperlink"/>
    <w:basedOn w:val="DefaultParagraphFont"/>
    <w:uiPriority w:val="99"/>
    <w:rsid w:val="00A82384"/>
    <w:rPr>
      <w:color w:val="0000FF"/>
      <w:u w:val="single"/>
    </w:rPr>
  </w:style>
  <w:style w:type="paragraph" w:styleId="TOC2">
    <w:name w:val="toc 2"/>
    <w:basedOn w:val="Normal"/>
    <w:next w:val="Normal"/>
    <w:autoRedefine/>
    <w:uiPriority w:val="39"/>
    <w:rsid w:val="00EA7A83"/>
    <w:pPr>
      <w:tabs>
        <w:tab w:val="left" w:pos="900"/>
        <w:tab w:val="right" w:leader="dot" w:pos="9629"/>
      </w:tabs>
      <w:ind w:left="360"/>
    </w:pPr>
  </w:style>
  <w:style w:type="paragraph" w:styleId="TOC3">
    <w:name w:val="toc 3"/>
    <w:basedOn w:val="Normal"/>
    <w:next w:val="Normal"/>
    <w:autoRedefine/>
    <w:uiPriority w:val="39"/>
    <w:rsid w:val="00CF7259"/>
    <w:pPr>
      <w:tabs>
        <w:tab w:val="left" w:pos="1440"/>
        <w:tab w:val="right" w:leader="dot" w:pos="9629"/>
      </w:tabs>
      <w:ind w:left="900"/>
    </w:pPr>
  </w:style>
  <w:style w:type="paragraph" w:styleId="TOC4">
    <w:name w:val="toc 4"/>
    <w:basedOn w:val="Normal"/>
    <w:next w:val="Normal"/>
    <w:autoRedefine/>
    <w:uiPriority w:val="39"/>
    <w:rsid w:val="007D1E37"/>
    <w:pPr>
      <w:tabs>
        <w:tab w:val="left" w:pos="2340"/>
        <w:tab w:val="right" w:leader="dot" w:pos="9629"/>
      </w:tabs>
      <w:ind w:left="1440"/>
    </w:pPr>
    <w:rPr>
      <w:i/>
    </w:rPr>
  </w:style>
  <w:style w:type="table" w:styleId="TableGrid">
    <w:name w:val="Table Grid"/>
    <w:basedOn w:val="TableNormal"/>
    <w:rsid w:val="006F49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CFiguretitle">
    <w:name w:val="ECC Figure title"/>
    <w:basedOn w:val="ECCParagraph"/>
    <w:next w:val="ECCParagraph"/>
    <w:rsid w:val="00C95C7C"/>
    <w:pPr>
      <w:numPr>
        <w:numId w:val="4"/>
      </w:numPr>
      <w:spacing w:before="240" w:after="480"/>
      <w:jc w:val="center"/>
    </w:pPr>
    <w:rPr>
      <w:b/>
      <w:color w:val="D2232A"/>
    </w:rPr>
  </w:style>
  <w:style w:type="paragraph" w:customStyle="1" w:styleId="ECCTabletitle">
    <w:name w:val="ECC Table title"/>
    <w:basedOn w:val="ECCFiguretitle"/>
    <w:next w:val="ECCParagraph"/>
    <w:autoRedefine/>
    <w:rsid w:val="00C95C7C"/>
    <w:pPr>
      <w:numPr>
        <w:numId w:val="3"/>
      </w:numPr>
      <w:spacing w:before="360" w:after="240"/>
    </w:pPr>
  </w:style>
  <w:style w:type="paragraph" w:customStyle="1" w:styleId="ECCFootnote">
    <w:name w:val="ECC Footnote"/>
    <w:basedOn w:val="Normal"/>
    <w:autoRedefine/>
    <w:rsid w:val="008935B9"/>
    <w:pPr>
      <w:ind w:left="454" w:hanging="454"/>
    </w:pPr>
    <w:rPr>
      <w:sz w:val="16"/>
    </w:rPr>
  </w:style>
  <w:style w:type="paragraph" w:styleId="FootnoteText">
    <w:name w:val="footnote text"/>
    <w:aliases w:val="footnote text"/>
    <w:basedOn w:val="Normal"/>
    <w:semiHidden/>
    <w:rsid w:val="008935B9"/>
    <w:rPr>
      <w:szCs w:val="20"/>
    </w:rPr>
  </w:style>
  <w:style w:type="character" w:styleId="FootnoteReference">
    <w:name w:val="footnote reference"/>
    <w:basedOn w:val="DefaultParagraphFont"/>
    <w:semiHidden/>
    <w:rsid w:val="008935B9"/>
    <w:rPr>
      <w:vertAlign w:val="superscript"/>
    </w:rPr>
  </w:style>
  <w:style w:type="paragraph" w:customStyle="1" w:styleId="Text">
    <w:name w:val="Text"/>
    <w:basedOn w:val="Normal"/>
    <w:rsid w:val="001F7826"/>
    <w:pPr>
      <w:widowControl w:val="0"/>
      <w:autoSpaceDE w:val="0"/>
      <w:autoSpaceDN w:val="0"/>
      <w:spacing w:line="252" w:lineRule="auto"/>
      <w:ind w:firstLine="202"/>
      <w:jc w:val="both"/>
    </w:pPr>
    <w:rPr>
      <w:szCs w:val="20"/>
    </w:rPr>
  </w:style>
  <w:style w:type="paragraph" w:customStyle="1" w:styleId="ECCTablenote">
    <w:name w:val="ECC Table note"/>
    <w:basedOn w:val="ECCParagraph"/>
    <w:next w:val="ECCParagraph"/>
    <w:autoRedefine/>
    <w:rsid w:val="0031313E"/>
    <w:pPr>
      <w:spacing w:after="0"/>
      <w:ind w:left="284" w:hanging="284"/>
    </w:pPr>
    <w:rPr>
      <w:sz w:val="16"/>
      <w:szCs w:val="16"/>
    </w:rPr>
  </w:style>
  <w:style w:type="paragraph" w:customStyle="1" w:styleId="reference">
    <w:name w:val="reference"/>
    <w:basedOn w:val="Normal"/>
    <w:rsid w:val="00A50B64"/>
    <w:pPr>
      <w:numPr>
        <w:numId w:val="6"/>
      </w:numPr>
    </w:pPr>
    <w:rPr>
      <w:lang w:eastAsia="ja-JP"/>
    </w:rPr>
  </w:style>
  <w:style w:type="paragraph" w:customStyle="1" w:styleId="ECCAnnexheading2">
    <w:name w:val="ECC Annex heading2"/>
    <w:basedOn w:val="Normal"/>
    <w:next w:val="ECCParagraph"/>
    <w:rsid w:val="00C95C7C"/>
    <w:pPr>
      <w:numPr>
        <w:ilvl w:val="1"/>
        <w:numId w:val="5"/>
      </w:numPr>
      <w:overflowPunct w:val="0"/>
      <w:autoSpaceDE w:val="0"/>
      <w:autoSpaceDN w:val="0"/>
      <w:adjustRightInd w:val="0"/>
      <w:spacing w:before="480" w:after="240"/>
      <w:textAlignment w:val="baseline"/>
    </w:pPr>
    <w:rPr>
      <w:b/>
      <w:caps/>
    </w:rPr>
  </w:style>
  <w:style w:type="paragraph" w:customStyle="1" w:styleId="ECCAnnexheading3">
    <w:name w:val="ECC Annex heading3"/>
    <w:basedOn w:val="Normal"/>
    <w:next w:val="ECCParagraph"/>
    <w:rsid w:val="00485B05"/>
    <w:pPr>
      <w:numPr>
        <w:ilvl w:val="2"/>
        <w:numId w:val="5"/>
      </w:numPr>
      <w:overflowPunct w:val="0"/>
      <w:autoSpaceDE w:val="0"/>
      <w:autoSpaceDN w:val="0"/>
      <w:adjustRightInd w:val="0"/>
      <w:spacing w:before="360" w:after="120"/>
      <w:textAlignment w:val="baseline"/>
    </w:pPr>
    <w:rPr>
      <w:b/>
    </w:rPr>
  </w:style>
  <w:style w:type="paragraph" w:customStyle="1" w:styleId="ECCAnnexheading4">
    <w:name w:val="ECC Annex heading4"/>
    <w:basedOn w:val="Normal"/>
    <w:next w:val="ECCParagraph"/>
    <w:rsid w:val="00C95C7C"/>
    <w:pPr>
      <w:numPr>
        <w:ilvl w:val="3"/>
        <w:numId w:val="5"/>
      </w:numPr>
      <w:overflowPunct w:val="0"/>
      <w:autoSpaceDE w:val="0"/>
      <w:autoSpaceDN w:val="0"/>
      <w:adjustRightInd w:val="0"/>
      <w:spacing w:before="360" w:after="120"/>
      <w:textAlignment w:val="baseline"/>
    </w:pPr>
    <w:rPr>
      <w:i/>
      <w:color w:val="D2232A"/>
    </w:rPr>
  </w:style>
  <w:style w:type="paragraph" w:customStyle="1" w:styleId="Lastupdated">
    <w:name w:val="Last updated"/>
    <w:basedOn w:val="Normal"/>
    <w:rsid w:val="00080D86"/>
    <w:pPr>
      <w:spacing w:before="120" w:after="120"/>
      <w:ind w:left="3402"/>
    </w:pPr>
    <w:rPr>
      <w:bCs/>
      <w:sz w:val="18"/>
    </w:rPr>
  </w:style>
  <w:style w:type="paragraph" w:customStyle="1" w:styleId="Reporttitledescription">
    <w:name w:val="Report title/description"/>
    <w:basedOn w:val="Normal"/>
    <w:rsid w:val="009B4646"/>
    <w:pPr>
      <w:spacing w:before="600" w:line="288" w:lineRule="auto"/>
      <w:ind w:left="3402"/>
    </w:pPr>
    <w:rPr>
      <w:sz w:val="24"/>
    </w:rPr>
  </w:style>
  <w:style w:type="paragraph" w:styleId="Caption">
    <w:name w:val="caption"/>
    <w:basedOn w:val="Normal"/>
    <w:next w:val="Normal"/>
    <w:uiPriority w:val="35"/>
    <w:unhideWhenUsed/>
    <w:qFormat/>
    <w:rsid w:val="00C4710C"/>
    <w:pPr>
      <w:spacing w:before="240" w:after="240"/>
      <w:jc w:val="center"/>
    </w:pPr>
    <w:rPr>
      <w:b/>
      <w:bCs/>
      <w:color w:val="D2232A"/>
      <w:szCs w:val="20"/>
    </w:rPr>
  </w:style>
  <w:style w:type="numbering" w:customStyle="1" w:styleId="ECCBullets">
    <w:name w:val="ECC Bullets"/>
    <w:basedOn w:val="NoList"/>
    <w:rsid w:val="00B113AE"/>
    <w:pPr>
      <w:numPr>
        <w:numId w:val="8"/>
      </w:numPr>
    </w:pPr>
  </w:style>
  <w:style w:type="paragraph" w:customStyle="1" w:styleId="ECCNumbered-LetteredList">
    <w:name w:val="ECC Numbered-Lettered List"/>
    <w:basedOn w:val="Normal"/>
    <w:qFormat/>
    <w:rsid w:val="00DF2C67"/>
    <w:pPr>
      <w:numPr>
        <w:numId w:val="16"/>
      </w:numPr>
    </w:pPr>
  </w:style>
  <w:style w:type="paragraph" w:customStyle="1" w:styleId="ECCNumberedBullets">
    <w:name w:val="ECC Numbered Bullets"/>
    <w:basedOn w:val="Normal"/>
    <w:rsid w:val="00DF2C67"/>
    <w:pPr>
      <w:numPr>
        <w:numId w:val="14"/>
      </w:numPr>
    </w:pPr>
  </w:style>
  <w:style w:type="paragraph" w:styleId="BalloonText">
    <w:name w:val="Balloon Text"/>
    <w:basedOn w:val="Normal"/>
    <w:link w:val="BalloonTextChar"/>
    <w:uiPriority w:val="99"/>
    <w:semiHidden/>
    <w:unhideWhenUsed/>
    <w:rsid w:val="009E47E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E47EB"/>
    <w:rPr>
      <w:rFonts w:ascii="Lucida Grande" w:hAnsi="Lucida Grande" w:cs="Lucida Grande"/>
      <w:sz w:val="18"/>
      <w:szCs w:val="18"/>
      <w:lang w:val="en-US"/>
    </w:rPr>
  </w:style>
  <w:style w:type="numbering" w:customStyle="1" w:styleId="ECCNumbers-Bullets">
    <w:name w:val="ECC Numbers-Bullets"/>
    <w:uiPriority w:val="99"/>
    <w:rsid w:val="00DF2C67"/>
    <w:pPr>
      <w:numPr>
        <w:numId w:val="14"/>
      </w:numPr>
    </w:pPr>
  </w:style>
  <w:style w:type="numbering" w:customStyle="1" w:styleId="ECCNumbers-Letters">
    <w:name w:val="ECC Numbers-Letters"/>
    <w:uiPriority w:val="99"/>
    <w:rsid w:val="00DF2C67"/>
    <w:pPr>
      <w:numPr>
        <w:numId w:val="16"/>
      </w:numPr>
    </w:pPr>
  </w:style>
  <w:style w:type="paragraph" w:customStyle="1" w:styleId="ECCAnnex-heading1">
    <w:name w:val="ECC Annex - heading1"/>
    <w:basedOn w:val="Heading1"/>
    <w:next w:val="ECCParagraph"/>
    <w:rsid w:val="009E51D5"/>
    <w:pPr>
      <w:keepNext w:val="0"/>
      <w:numPr>
        <w:numId w:val="0"/>
      </w:numPr>
    </w:pPr>
    <w:rPr>
      <w:b w:val="0"/>
    </w:rPr>
  </w:style>
  <w:style w:type="paragraph" w:customStyle="1" w:styleId="ECCFormulatitle">
    <w:name w:val="ECC Formula title"/>
    <w:basedOn w:val="ECCFiguretitle"/>
    <w:next w:val="ECCParagraph"/>
    <w:qFormat/>
    <w:rsid w:val="009E51D5"/>
    <w:pPr>
      <w:numPr>
        <w:numId w:val="19"/>
      </w:numPr>
    </w:pPr>
  </w:style>
  <w:style w:type="paragraph" w:customStyle="1" w:styleId="body">
    <w:name w:val="body"/>
    <w:basedOn w:val="Normal"/>
    <w:rsid w:val="009E51D5"/>
    <w:pPr>
      <w:numPr>
        <w:numId w:val="21"/>
      </w:numPr>
      <w:spacing w:line="360" w:lineRule="auto"/>
      <w:jc w:val="both"/>
    </w:pPr>
    <w:rPr>
      <w:sz w:val="22"/>
    </w:rPr>
  </w:style>
  <w:style w:type="paragraph" w:customStyle="1" w:styleId="Default">
    <w:name w:val="Default"/>
    <w:rsid w:val="009E51D5"/>
    <w:pPr>
      <w:autoSpaceDE w:val="0"/>
      <w:autoSpaceDN w:val="0"/>
      <w:adjustRightInd w:val="0"/>
    </w:pPr>
    <w:rPr>
      <w:rFonts w:ascii="Arial" w:hAnsi="Arial" w:cs="Arial"/>
      <w:color w:val="000000"/>
      <w:sz w:val="24"/>
      <w:szCs w:val="24"/>
      <w:lang w:val="en-US"/>
    </w:rPr>
  </w:style>
  <w:style w:type="character" w:customStyle="1" w:styleId="hps">
    <w:name w:val="hps"/>
    <w:basedOn w:val="DefaultParagraphFont"/>
    <w:rsid w:val="009E51D5"/>
  </w:style>
  <w:style w:type="paragraph" w:styleId="ListParagraph">
    <w:name w:val="List Paragraph"/>
    <w:basedOn w:val="Normal"/>
    <w:uiPriority w:val="34"/>
    <w:qFormat/>
    <w:rsid w:val="0053258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5C7C"/>
    <w:rPr>
      <w:rFonts w:ascii="Arial" w:hAnsi="Arial"/>
      <w:szCs w:val="24"/>
      <w:lang w:val="en-US"/>
    </w:rPr>
  </w:style>
  <w:style w:type="paragraph" w:styleId="Heading1">
    <w:name w:val="heading 1"/>
    <w:aliases w:val="ECC Heading 1"/>
    <w:basedOn w:val="Normal"/>
    <w:next w:val="ECCParagraph"/>
    <w:autoRedefine/>
    <w:qFormat/>
    <w:rsid w:val="00A472B6"/>
    <w:pPr>
      <w:keepNext/>
      <w:pageBreakBefore/>
      <w:numPr>
        <w:numId w:val="2"/>
      </w:numPr>
      <w:tabs>
        <w:tab w:val="clear" w:pos="8370"/>
        <w:tab w:val="num" w:pos="567"/>
      </w:tabs>
      <w:spacing w:before="600" w:after="240"/>
      <w:ind w:hanging="8370"/>
      <w:outlineLvl w:val="0"/>
    </w:pPr>
    <w:rPr>
      <w:rFonts w:cs="Arial"/>
      <w:b/>
      <w:bCs/>
      <w:caps/>
      <w:color w:val="D2232A"/>
      <w:kern w:val="32"/>
      <w:szCs w:val="32"/>
      <w:lang w:val="en-GB"/>
    </w:rPr>
  </w:style>
  <w:style w:type="paragraph" w:styleId="Heading2">
    <w:name w:val="heading 2"/>
    <w:aliases w:val="ECC Heading 2"/>
    <w:basedOn w:val="Normal"/>
    <w:next w:val="ECCParagraph"/>
    <w:autoRedefine/>
    <w:qFormat/>
    <w:rsid w:val="00DF2C67"/>
    <w:pPr>
      <w:keepNext/>
      <w:numPr>
        <w:ilvl w:val="1"/>
        <w:numId w:val="2"/>
      </w:numPr>
      <w:spacing w:before="480" w:after="240"/>
      <w:outlineLvl w:val="1"/>
    </w:pPr>
    <w:rPr>
      <w:rFonts w:cs="Arial"/>
      <w:b/>
      <w:bCs/>
      <w:iCs/>
      <w:caps/>
      <w:szCs w:val="28"/>
    </w:rPr>
  </w:style>
  <w:style w:type="paragraph" w:styleId="Heading3">
    <w:name w:val="heading 3"/>
    <w:aliases w:val="ECC Heading 3"/>
    <w:basedOn w:val="Normal"/>
    <w:next w:val="ECCParagraph"/>
    <w:autoRedefine/>
    <w:qFormat/>
    <w:rsid w:val="009E47EB"/>
    <w:pPr>
      <w:keepNext/>
      <w:numPr>
        <w:ilvl w:val="2"/>
        <w:numId w:val="2"/>
      </w:numPr>
      <w:spacing w:before="360" w:after="120"/>
      <w:outlineLvl w:val="2"/>
    </w:pPr>
    <w:rPr>
      <w:rFonts w:cs="Arial"/>
      <w:b/>
      <w:bCs/>
      <w:szCs w:val="26"/>
    </w:rPr>
  </w:style>
  <w:style w:type="paragraph" w:styleId="Heading4">
    <w:name w:val="heading 4"/>
    <w:aliases w:val="ECC Heading 4"/>
    <w:basedOn w:val="Normal"/>
    <w:next w:val="ECCParagraph"/>
    <w:autoRedefine/>
    <w:qFormat/>
    <w:rsid w:val="00767BB2"/>
    <w:pPr>
      <w:numPr>
        <w:ilvl w:val="3"/>
        <w:numId w:val="2"/>
      </w:numPr>
      <w:spacing w:before="360" w:after="120"/>
      <w:outlineLvl w:val="3"/>
    </w:pPr>
    <w:rPr>
      <w:rFonts w:cs="Arial"/>
      <w:bCs/>
      <w:i/>
      <w:color w:val="D2232A"/>
      <w:szCs w:val="26"/>
    </w:rPr>
  </w:style>
  <w:style w:type="paragraph" w:styleId="Heading5">
    <w:name w:val="heading 5"/>
    <w:basedOn w:val="Normal"/>
    <w:next w:val="Normal"/>
    <w:qFormat/>
    <w:rsid w:val="009E47EB"/>
    <w:pPr>
      <w:numPr>
        <w:ilvl w:val="4"/>
        <w:numId w:val="2"/>
      </w:numPr>
      <w:spacing w:before="240" w:after="60"/>
      <w:outlineLvl w:val="4"/>
    </w:pPr>
    <w:rPr>
      <w:b/>
      <w:bCs/>
      <w:i/>
      <w:iCs/>
      <w:sz w:val="26"/>
      <w:szCs w:val="26"/>
    </w:rPr>
  </w:style>
  <w:style w:type="paragraph" w:styleId="Heading6">
    <w:name w:val="heading 6"/>
    <w:basedOn w:val="Normal"/>
    <w:next w:val="Normal"/>
    <w:qFormat/>
    <w:rsid w:val="009E47EB"/>
    <w:pPr>
      <w:numPr>
        <w:ilvl w:val="5"/>
        <w:numId w:val="2"/>
      </w:numPr>
      <w:spacing w:before="240" w:after="60"/>
      <w:outlineLvl w:val="5"/>
    </w:pPr>
    <w:rPr>
      <w:b/>
      <w:bCs/>
      <w:sz w:val="22"/>
      <w:szCs w:val="22"/>
    </w:rPr>
  </w:style>
  <w:style w:type="paragraph" w:styleId="Heading7">
    <w:name w:val="heading 7"/>
    <w:basedOn w:val="Normal"/>
    <w:next w:val="Normal"/>
    <w:qFormat/>
    <w:rsid w:val="009E47EB"/>
    <w:pPr>
      <w:numPr>
        <w:ilvl w:val="6"/>
        <w:numId w:val="2"/>
      </w:numPr>
      <w:spacing w:before="240" w:after="60"/>
      <w:outlineLvl w:val="6"/>
    </w:pPr>
    <w:rPr>
      <w:sz w:val="24"/>
    </w:rPr>
  </w:style>
  <w:style w:type="paragraph" w:styleId="Heading8">
    <w:name w:val="heading 8"/>
    <w:basedOn w:val="Normal"/>
    <w:next w:val="Normal"/>
    <w:qFormat/>
    <w:rsid w:val="009E47EB"/>
    <w:pPr>
      <w:numPr>
        <w:ilvl w:val="7"/>
        <w:numId w:val="2"/>
      </w:numPr>
      <w:spacing w:before="240" w:after="60"/>
      <w:outlineLvl w:val="7"/>
    </w:pPr>
    <w:rPr>
      <w:i/>
      <w:iCs/>
      <w:sz w:val="24"/>
    </w:rPr>
  </w:style>
  <w:style w:type="paragraph" w:styleId="Heading9">
    <w:name w:val="heading 9"/>
    <w:basedOn w:val="Normal"/>
    <w:next w:val="Normal"/>
    <w:qFormat/>
    <w:rsid w:val="009E47EB"/>
    <w:pPr>
      <w:numPr>
        <w:ilvl w:val="8"/>
        <w:numId w:val="2"/>
      </w:num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CParagraph">
    <w:name w:val="ECC Paragraph"/>
    <w:basedOn w:val="Normal"/>
    <w:rsid w:val="004E66F0"/>
    <w:pPr>
      <w:spacing w:after="240"/>
      <w:jc w:val="both"/>
    </w:pPr>
    <w:rPr>
      <w:lang w:val="en-GB"/>
    </w:rPr>
  </w:style>
  <w:style w:type="paragraph" w:customStyle="1" w:styleId="ECCParBulleted">
    <w:name w:val="ECC Par Bulleted"/>
    <w:basedOn w:val="ECCParagraph"/>
    <w:rsid w:val="00CB0AD7"/>
    <w:pPr>
      <w:numPr>
        <w:numId w:val="1"/>
      </w:numPr>
      <w:spacing w:after="0"/>
    </w:pPr>
  </w:style>
  <w:style w:type="paragraph" w:styleId="Header">
    <w:name w:val="header"/>
    <w:basedOn w:val="Normal"/>
    <w:rsid w:val="00C95C7C"/>
    <w:pPr>
      <w:tabs>
        <w:tab w:val="center" w:pos="4320"/>
        <w:tab w:val="right" w:pos="8640"/>
      </w:tabs>
    </w:pPr>
    <w:rPr>
      <w:b/>
      <w:sz w:val="16"/>
    </w:rPr>
  </w:style>
  <w:style w:type="paragraph" w:styleId="Footer">
    <w:name w:val="footer"/>
    <w:basedOn w:val="Normal"/>
    <w:rsid w:val="0077244E"/>
    <w:pPr>
      <w:tabs>
        <w:tab w:val="center" w:pos="4320"/>
        <w:tab w:val="right" w:pos="8640"/>
      </w:tabs>
    </w:pPr>
  </w:style>
  <w:style w:type="paragraph" w:customStyle="1" w:styleId="ECCAnnexheading1">
    <w:name w:val="ECC Annex heading1"/>
    <w:basedOn w:val="Heading1"/>
    <w:next w:val="ECCParagraph"/>
    <w:rsid w:val="00550D79"/>
    <w:pPr>
      <w:numPr>
        <w:numId w:val="5"/>
      </w:numPr>
    </w:pPr>
  </w:style>
  <w:style w:type="paragraph" w:styleId="TOC1">
    <w:name w:val="toc 1"/>
    <w:basedOn w:val="Normal"/>
    <w:next w:val="Normal"/>
    <w:autoRedefine/>
    <w:uiPriority w:val="39"/>
    <w:rsid w:val="00EA7A83"/>
    <w:pPr>
      <w:tabs>
        <w:tab w:val="left" w:pos="360"/>
        <w:tab w:val="right" w:leader="dot" w:pos="9629"/>
      </w:tabs>
      <w:spacing w:before="240"/>
    </w:pPr>
    <w:rPr>
      <w:b/>
      <w:caps/>
    </w:rPr>
  </w:style>
  <w:style w:type="character" w:styleId="Hyperlink">
    <w:name w:val="Hyperlink"/>
    <w:basedOn w:val="DefaultParagraphFont"/>
    <w:uiPriority w:val="99"/>
    <w:rsid w:val="00A82384"/>
    <w:rPr>
      <w:color w:val="0000FF"/>
      <w:u w:val="single"/>
    </w:rPr>
  </w:style>
  <w:style w:type="paragraph" w:styleId="TOC2">
    <w:name w:val="toc 2"/>
    <w:basedOn w:val="Normal"/>
    <w:next w:val="Normal"/>
    <w:autoRedefine/>
    <w:uiPriority w:val="39"/>
    <w:rsid w:val="00EA7A83"/>
    <w:pPr>
      <w:tabs>
        <w:tab w:val="left" w:pos="900"/>
        <w:tab w:val="right" w:leader="dot" w:pos="9629"/>
      </w:tabs>
      <w:ind w:left="360"/>
    </w:pPr>
  </w:style>
  <w:style w:type="paragraph" w:styleId="TOC3">
    <w:name w:val="toc 3"/>
    <w:basedOn w:val="Normal"/>
    <w:next w:val="Normal"/>
    <w:autoRedefine/>
    <w:uiPriority w:val="39"/>
    <w:rsid w:val="00CF7259"/>
    <w:pPr>
      <w:tabs>
        <w:tab w:val="left" w:pos="1440"/>
        <w:tab w:val="right" w:leader="dot" w:pos="9629"/>
      </w:tabs>
      <w:ind w:left="900"/>
    </w:pPr>
  </w:style>
  <w:style w:type="paragraph" w:styleId="TOC4">
    <w:name w:val="toc 4"/>
    <w:basedOn w:val="Normal"/>
    <w:next w:val="Normal"/>
    <w:autoRedefine/>
    <w:uiPriority w:val="39"/>
    <w:rsid w:val="007D1E37"/>
    <w:pPr>
      <w:tabs>
        <w:tab w:val="left" w:pos="2340"/>
        <w:tab w:val="right" w:leader="dot" w:pos="9629"/>
      </w:tabs>
      <w:ind w:left="1440"/>
    </w:pPr>
    <w:rPr>
      <w:i/>
    </w:rPr>
  </w:style>
  <w:style w:type="table" w:styleId="TableGrid">
    <w:name w:val="Table Grid"/>
    <w:basedOn w:val="TableNormal"/>
    <w:rsid w:val="006F49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CFiguretitle">
    <w:name w:val="ECC Figure title"/>
    <w:basedOn w:val="ECCParagraph"/>
    <w:next w:val="ECCParagraph"/>
    <w:rsid w:val="00C95C7C"/>
    <w:pPr>
      <w:numPr>
        <w:numId w:val="4"/>
      </w:numPr>
      <w:spacing w:before="240" w:after="480"/>
      <w:jc w:val="center"/>
    </w:pPr>
    <w:rPr>
      <w:b/>
      <w:color w:val="D2232A"/>
    </w:rPr>
  </w:style>
  <w:style w:type="paragraph" w:customStyle="1" w:styleId="ECCTabletitle">
    <w:name w:val="ECC Table title"/>
    <w:basedOn w:val="ECCFiguretitle"/>
    <w:next w:val="ECCParagraph"/>
    <w:autoRedefine/>
    <w:rsid w:val="00C95C7C"/>
    <w:pPr>
      <w:numPr>
        <w:numId w:val="3"/>
      </w:numPr>
      <w:spacing w:before="360" w:after="240"/>
    </w:pPr>
  </w:style>
  <w:style w:type="paragraph" w:customStyle="1" w:styleId="ECCFootnote">
    <w:name w:val="ECC Footnote"/>
    <w:basedOn w:val="Normal"/>
    <w:autoRedefine/>
    <w:rsid w:val="008935B9"/>
    <w:pPr>
      <w:ind w:left="454" w:hanging="454"/>
    </w:pPr>
    <w:rPr>
      <w:sz w:val="16"/>
    </w:rPr>
  </w:style>
  <w:style w:type="paragraph" w:styleId="FootnoteText">
    <w:name w:val="footnote text"/>
    <w:aliases w:val="footnote text"/>
    <w:basedOn w:val="Normal"/>
    <w:semiHidden/>
    <w:rsid w:val="008935B9"/>
    <w:rPr>
      <w:szCs w:val="20"/>
    </w:rPr>
  </w:style>
  <w:style w:type="character" w:styleId="FootnoteReference">
    <w:name w:val="footnote reference"/>
    <w:basedOn w:val="DefaultParagraphFont"/>
    <w:semiHidden/>
    <w:rsid w:val="008935B9"/>
    <w:rPr>
      <w:vertAlign w:val="superscript"/>
    </w:rPr>
  </w:style>
  <w:style w:type="paragraph" w:customStyle="1" w:styleId="Text">
    <w:name w:val="Text"/>
    <w:basedOn w:val="Normal"/>
    <w:rsid w:val="001F7826"/>
    <w:pPr>
      <w:widowControl w:val="0"/>
      <w:autoSpaceDE w:val="0"/>
      <w:autoSpaceDN w:val="0"/>
      <w:spacing w:line="252" w:lineRule="auto"/>
      <w:ind w:firstLine="202"/>
      <w:jc w:val="both"/>
    </w:pPr>
    <w:rPr>
      <w:szCs w:val="20"/>
    </w:rPr>
  </w:style>
  <w:style w:type="paragraph" w:customStyle="1" w:styleId="ECCTablenote">
    <w:name w:val="ECC Table note"/>
    <w:basedOn w:val="ECCParagraph"/>
    <w:next w:val="ECCParagraph"/>
    <w:autoRedefine/>
    <w:rsid w:val="0031313E"/>
    <w:pPr>
      <w:spacing w:after="0"/>
      <w:ind w:left="284" w:hanging="284"/>
    </w:pPr>
    <w:rPr>
      <w:sz w:val="16"/>
      <w:szCs w:val="16"/>
    </w:rPr>
  </w:style>
  <w:style w:type="paragraph" w:customStyle="1" w:styleId="reference">
    <w:name w:val="reference"/>
    <w:basedOn w:val="Normal"/>
    <w:rsid w:val="00A50B64"/>
    <w:pPr>
      <w:numPr>
        <w:numId w:val="6"/>
      </w:numPr>
    </w:pPr>
    <w:rPr>
      <w:lang w:eastAsia="ja-JP"/>
    </w:rPr>
  </w:style>
  <w:style w:type="paragraph" w:customStyle="1" w:styleId="ECCAnnexheading2">
    <w:name w:val="ECC Annex heading2"/>
    <w:basedOn w:val="Normal"/>
    <w:next w:val="ECCParagraph"/>
    <w:rsid w:val="00C95C7C"/>
    <w:pPr>
      <w:numPr>
        <w:ilvl w:val="1"/>
        <w:numId w:val="5"/>
      </w:numPr>
      <w:overflowPunct w:val="0"/>
      <w:autoSpaceDE w:val="0"/>
      <w:autoSpaceDN w:val="0"/>
      <w:adjustRightInd w:val="0"/>
      <w:spacing w:before="480" w:after="240"/>
      <w:textAlignment w:val="baseline"/>
    </w:pPr>
    <w:rPr>
      <w:b/>
      <w:caps/>
    </w:rPr>
  </w:style>
  <w:style w:type="paragraph" w:customStyle="1" w:styleId="ECCAnnexheading3">
    <w:name w:val="ECC Annex heading3"/>
    <w:basedOn w:val="Normal"/>
    <w:next w:val="ECCParagraph"/>
    <w:rsid w:val="00485B05"/>
    <w:pPr>
      <w:numPr>
        <w:ilvl w:val="2"/>
        <w:numId w:val="5"/>
      </w:numPr>
      <w:overflowPunct w:val="0"/>
      <w:autoSpaceDE w:val="0"/>
      <w:autoSpaceDN w:val="0"/>
      <w:adjustRightInd w:val="0"/>
      <w:spacing w:before="360" w:after="120"/>
      <w:textAlignment w:val="baseline"/>
    </w:pPr>
    <w:rPr>
      <w:b/>
    </w:rPr>
  </w:style>
  <w:style w:type="paragraph" w:customStyle="1" w:styleId="ECCAnnexheading4">
    <w:name w:val="ECC Annex heading4"/>
    <w:basedOn w:val="Normal"/>
    <w:next w:val="ECCParagraph"/>
    <w:rsid w:val="00C95C7C"/>
    <w:pPr>
      <w:numPr>
        <w:ilvl w:val="3"/>
        <w:numId w:val="5"/>
      </w:numPr>
      <w:overflowPunct w:val="0"/>
      <w:autoSpaceDE w:val="0"/>
      <w:autoSpaceDN w:val="0"/>
      <w:adjustRightInd w:val="0"/>
      <w:spacing w:before="360" w:after="120"/>
      <w:textAlignment w:val="baseline"/>
    </w:pPr>
    <w:rPr>
      <w:i/>
      <w:color w:val="D2232A"/>
    </w:rPr>
  </w:style>
  <w:style w:type="paragraph" w:customStyle="1" w:styleId="Lastupdated">
    <w:name w:val="Last updated"/>
    <w:basedOn w:val="Normal"/>
    <w:rsid w:val="00080D86"/>
    <w:pPr>
      <w:spacing w:before="120" w:after="120"/>
      <w:ind w:left="3402"/>
    </w:pPr>
    <w:rPr>
      <w:bCs/>
      <w:sz w:val="18"/>
    </w:rPr>
  </w:style>
  <w:style w:type="paragraph" w:customStyle="1" w:styleId="Reporttitledescription">
    <w:name w:val="Report title/description"/>
    <w:basedOn w:val="Normal"/>
    <w:rsid w:val="009B4646"/>
    <w:pPr>
      <w:spacing w:before="600" w:line="288" w:lineRule="auto"/>
      <w:ind w:left="3402"/>
    </w:pPr>
    <w:rPr>
      <w:sz w:val="24"/>
    </w:rPr>
  </w:style>
  <w:style w:type="paragraph" w:styleId="Caption">
    <w:name w:val="caption"/>
    <w:basedOn w:val="Normal"/>
    <w:next w:val="Normal"/>
    <w:uiPriority w:val="35"/>
    <w:unhideWhenUsed/>
    <w:qFormat/>
    <w:rsid w:val="00C4710C"/>
    <w:pPr>
      <w:spacing w:before="240" w:after="240"/>
      <w:jc w:val="center"/>
    </w:pPr>
    <w:rPr>
      <w:b/>
      <w:bCs/>
      <w:color w:val="D2232A"/>
      <w:szCs w:val="20"/>
    </w:rPr>
  </w:style>
  <w:style w:type="numbering" w:customStyle="1" w:styleId="ECCBullets">
    <w:name w:val="ECC Bullets"/>
    <w:basedOn w:val="NoList"/>
    <w:rsid w:val="00B113AE"/>
    <w:pPr>
      <w:numPr>
        <w:numId w:val="8"/>
      </w:numPr>
    </w:pPr>
  </w:style>
  <w:style w:type="paragraph" w:customStyle="1" w:styleId="ECCNumbered-LetteredList">
    <w:name w:val="ECC Numbered-Lettered List"/>
    <w:basedOn w:val="Normal"/>
    <w:qFormat/>
    <w:rsid w:val="00DF2C67"/>
    <w:pPr>
      <w:numPr>
        <w:numId w:val="16"/>
      </w:numPr>
    </w:pPr>
  </w:style>
  <w:style w:type="paragraph" w:customStyle="1" w:styleId="ECCNumberedBullets">
    <w:name w:val="ECC Numbered Bullets"/>
    <w:basedOn w:val="Normal"/>
    <w:rsid w:val="00DF2C67"/>
    <w:pPr>
      <w:numPr>
        <w:numId w:val="14"/>
      </w:numPr>
    </w:pPr>
  </w:style>
  <w:style w:type="paragraph" w:styleId="BalloonText">
    <w:name w:val="Balloon Text"/>
    <w:basedOn w:val="Normal"/>
    <w:link w:val="BalloonTextChar"/>
    <w:uiPriority w:val="99"/>
    <w:semiHidden/>
    <w:unhideWhenUsed/>
    <w:rsid w:val="009E47E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E47EB"/>
    <w:rPr>
      <w:rFonts w:ascii="Lucida Grande" w:hAnsi="Lucida Grande" w:cs="Lucida Grande"/>
      <w:sz w:val="18"/>
      <w:szCs w:val="18"/>
      <w:lang w:val="en-US"/>
    </w:rPr>
  </w:style>
  <w:style w:type="numbering" w:customStyle="1" w:styleId="ECCNumbers-Bullets">
    <w:name w:val="ECC Numbers-Bullets"/>
    <w:uiPriority w:val="99"/>
    <w:rsid w:val="00DF2C67"/>
    <w:pPr>
      <w:numPr>
        <w:numId w:val="14"/>
      </w:numPr>
    </w:pPr>
  </w:style>
  <w:style w:type="numbering" w:customStyle="1" w:styleId="ECCNumbers-Letters">
    <w:name w:val="ECC Numbers-Letters"/>
    <w:uiPriority w:val="99"/>
    <w:rsid w:val="00DF2C67"/>
    <w:pPr>
      <w:numPr>
        <w:numId w:val="16"/>
      </w:numPr>
    </w:pPr>
  </w:style>
  <w:style w:type="paragraph" w:customStyle="1" w:styleId="ECCAnnex-heading1">
    <w:name w:val="ECC Annex - heading1"/>
    <w:basedOn w:val="Heading1"/>
    <w:next w:val="ECCParagraph"/>
    <w:rsid w:val="009E51D5"/>
    <w:pPr>
      <w:keepNext w:val="0"/>
      <w:numPr>
        <w:numId w:val="0"/>
      </w:numPr>
    </w:pPr>
    <w:rPr>
      <w:b w:val="0"/>
    </w:rPr>
  </w:style>
  <w:style w:type="paragraph" w:customStyle="1" w:styleId="ECCFormulatitle">
    <w:name w:val="ECC Formula title"/>
    <w:basedOn w:val="ECCFiguretitle"/>
    <w:next w:val="ECCParagraph"/>
    <w:qFormat/>
    <w:rsid w:val="009E51D5"/>
    <w:pPr>
      <w:numPr>
        <w:numId w:val="19"/>
      </w:numPr>
    </w:pPr>
  </w:style>
  <w:style w:type="paragraph" w:customStyle="1" w:styleId="body">
    <w:name w:val="body"/>
    <w:basedOn w:val="Normal"/>
    <w:rsid w:val="009E51D5"/>
    <w:pPr>
      <w:numPr>
        <w:numId w:val="21"/>
      </w:numPr>
      <w:spacing w:line="360" w:lineRule="auto"/>
      <w:jc w:val="both"/>
    </w:pPr>
    <w:rPr>
      <w:sz w:val="22"/>
    </w:rPr>
  </w:style>
  <w:style w:type="paragraph" w:customStyle="1" w:styleId="Default">
    <w:name w:val="Default"/>
    <w:rsid w:val="009E51D5"/>
    <w:pPr>
      <w:autoSpaceDE w:val="0"/>
      <w:autoSpaceDN w:val="0"/>
      <w:adjustRightInd w:val="0"/>
    </w:pPr>
    <w:rPr>
      <w:rFonts w:ascii="Arial" w:hAnsi="Arial" w:cs="Arial"/>
      <w:color w:val="000000"/>
      <w:sz w:val="24"/>
      <w:szCs w:val="24"/>
      <w:lang w:val="en-US"/>
    </w:rPr>
  </w:style>
  <w:style w:type="character" w:customStyle="1" w:styleId="hps">
    <w:name w:val="hps"/>
    <w:basedOn w:val="DefaultParagraphFont"/>
    <w:rsid w:val="009E51D5"/>
  </w:style>
  <w:style w:type="paragraph" w:styleId="ListParagraph">
    <w:name w:val="List Paragraph"/>
    <w:basedOn w:val="Normal"/>
    <w:uiPriority w:val="34"/>
    <w:qFormat/>
    <w:rsid w:val="005325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2.xml"/><Relationship Id="rId18" Type="http://schemas.openxmlformats.org/officeDocument/2006/relationships/chart" Target="charts/chart7.xml"/><Relationship Id="rId26" Type="http://schemas.openxmlformats.org/officeDocument/2006/relationships/chart" Target="charts/chart15.xml"/><Relationship Id="rId39" Type="http://schemas.openxmlformats.org/officeDocument/2006/relationships/header" Target="header9.xml"/><Relationship Id="rId3" Type="http://schemas.openxmlformats.org/officeDocument/2006/relationships/styles" Target="styles.xml"/><Relationship Id="rId21" Type="http://schemas.openxmlformats.org/officeDocument/2006/relationships/chart" Target="charts/chart10.xml"/><Relationship Id="rId34"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chart" Target="charts/chart14.xml"/><Relationship Id="rId33" Type="http://schemas.openxmlformats.org/officeDocument/2006/relationships/chart" Target="charts/chart22.xml"/><Relationship Id="rId38"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chart" Target="charts/chart9.xml"/><Relationship Id="rId29" Type="http://schemas.openxmlformats.org/officeDocument/2006/relationships/chart" Target="charts/chart18.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24" Type="http://schemas.openxmlformats.org/officeDocument/2006/relationships/chart" Target="charts/chart13.xml"/><Relationship Id="rId32" Type="http://schemas.openxmlformats.org/officeDocument/2006/relationships/chart" Target="charts/chart21.xml"/><Relationship Id="rId37" Type="http://schemas.openxmlformats.org/officeDocument/2006/relationships/header" Target="header7.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hart" Target="charts/chart4.xml"/><Relationship Id="rId23" Type="http://schemas.openxmlformats.org/officeDocument/2006/relationships/chart" Target="charts/chart12.xml"/><Relationship Id="rId28" Type="http://schemas.openxmlformats.org/officeDocument/2006/relationships/chart" Target="charts/chart17.xml"/><Relationship Id="rId36" Type="http://schemas.openxmlformats.org/officeDocument/2006/relationships/header" Target="header6.xml"/><Relationship Id="rId10" Type="http://schemas.openxmlformats.org/officeDocument/2006/relationships/header" Target="header2.xml"/><Relationship Id="rId19" Type="http://schemas.openxmlformats.org/officeDocument/2006/relationships/chart" Target="charts/chart8.xml"/><Relationship Id="rId31" Type="http://schemas.openxmlformats.org/officeDocument/2006/relationships/chart" Target="charts/chart20.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hart" Target="charts/chart3.xml"/><Relationship Id="rId22" Type="http://schemas.openxmlformats.org/officeDocument/2006/relationships/chart" Target="charts/chart11.xml"/><Relationship Id="rId27" Type="http://schemas.openxmlformats.org/officeDocument/2006/relationships/chart" Target="charts/chart16.xml"/><Relationship Id="rId30" Type="http://schemas.openxmlformats.org/officeDocument/2006/relationships/chart" Target="charts/chart19.xml"/><Relationship Id="rId35" Type="http://schemas.openxmlformats.org/officeDocument/2006/relationships/header" Target="header5.xml"/></Relationships>
</file>

<file path=word/_rels/header3.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Worksheet15.xlsx"/></Relationships>
</file>

<file path=word/charts/_rels/chart16.xml.rels><?xml version="1.0" encoding="UTF-8" standalone="yes"?>
<Relationships xmlns="http://schemas.openxmlformats.org/package/2006/relationships"><Relationship Id="rId1" Type="http://schemas.openxmlformats.org/officeDocument/2006/relationships/package" Target="../embeddings/Microsoft_Excel_Worksheet16.xlsx"/></Relationships>
</file>

<file path=word/charts/_rels/chart17.xml.rels><?xml version="1.0" encoding="UTF-8" standalone="yes"?>
<Relationships xmlns="http://schemas.openxmlformats.org/package/2006/relationships"><Relationship Id="rId1" Type="http://schemas.openxmlformats.org/officeDocument/2006/relationships/package" Target="../embeddings/Microsoft_Excel_Worksheet17.xlsx"/></Relationships>
</file>

<file path=word/charts/_rels/chart18.xml.rels><?xml version="1.0" encoding="UTF-8" standalone="yes"?>
<Relationships xmlns="http://schemas.openxmlformats.org/package/2006/relationships"><Relationship Id="rId1" Type="http://schemas.openxmlformats.org/officeDocument/2006/relationships/package" Target="../embeddings/Microsoft_Excel_Worksheet18.xlsx"/></Relationships>
</file>

<file path=word/charts/_rels/chart19.xml.rels><?xml version="1.0" encoding="UTF-8" standalone="yes"?>
<Relationships xmlns="http://schemas.openxmlformats.org/package/2006/relationships"><Relationship Id="rId1" Type="http://schemas.openxmlformats.org/officeDocument/2006/relationships/package" Target="../embeddings/Microsoft_Excel_Worksheet19.xlsx"/></Relationships>
</file>

<file path=word/charts/_rels/chart20.xml.rels><?xml version="1.0" encoding="UTF-8" standalone="yes"?>
<Relationships xmlns="http://schemas.openxmlformats.org/package/2006/relationships"><Relationship Id="rId1" Type="http://schemas.openxmlformats.org/officeDocument/2006/relationships/package" Target="../embeddings/Microsoft_Excel_Worksheet20.xlsx"/></Relationships>
</file>

<file path=word/charts/_rels/chart21.xml.rels><?xml version="1.0" encoding="UTF-8" standalone="yes"?>
<Relationships xmlns="http://schemas.openxmlformats.org/package/2006/relationships"><Relationship Id="rId1" Type="http://schemas.openxmlformats.org/officeDocument/2006/relationships/package" Target="../embeddings/Microsoft_Excel_Worksheet21.xlsx"/></Relationships>
</file>

<file path=word/charts/_rels/chart22.xml.rels><?xml version="1.0" encoding="UTF-8" standalone="yes"?>
<Relationships xmlns="http://schemas.openxmlformats.org/package/2006/relationships"><Relationship Id="rId1" Type="http://schemas.openxmlformats.org/officeDocument/2006/relationships/package" Target="../embeddings/Microsoft_Excel_Worksheet2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89686098654709"/>
          <c:y val="8.8339222614840993E-2"/>
          <c:w val="0.87892376681614348"/>
          <c:h val="0.45583038869257952"/>
        </c:manualLayout>
      </c:layout>
      <c:barChart>
        <c:barDir val="col"/>
        <c:grouping val="clustered"/>
        <c:varyColors val="0"/>
        <c:ser>
          <c:idx val="0"/>
          <c:order val="0"/>
          <c:tx>
            <c:strRef>
              <c:f>Sheet1!$A$2</c:f>
              <c:strCache>
                <c:ptCount val="1"/>
              </c:strCache>
            </c:strRef>
          </c:tx>
          <c:spPr>
            <a:solidFill>
              <a:srgbClr val="9999FF"/>
            </a:solidFill>
            <a:ln w="12663">
              <a:solidFill>
                <a:srgbClr val="000000"/>
              </a:solidFill>
              <a:prstDash val="solid"/>
            </a:ln>
          </c:spPr>
          <c:invertIfNegative val="0"/>
          <c:cat>
            <c:strRef>
              <c:f>Sheet1!$B$1:$G$1</c:f>
              <c:strCache>
                <c:ptCount val="6"/>
                <c:pt idx="0">
                  <c:v>Radio Manufacturer</c:v>
                </c:pt>
                <c:pt idx="1">
                  <c:v>End Product Manufacturer</c:v>
                </c:pt>
                <c:pt idx="2">
                  <c:v>Chipmaker</c:v>
                </c:pt>
                <c:pt idx="3">
                  <c:v>Testhouse/ Notified Body</c:v>
                </c:pt>
                <c:pt idx="4">
                  <c:v>User</c:v>
                </c:pt>
                <c:pt idx="5">
                  <c:v>Other</c:v>
                </c:pt>
              </c:strCache>
            </c:strRef>
          </c:cat>
          <c:val>
            <c:numRef>
              <c:f>Sheet1!$B$2:$G$2</c:f>
              <c:numCache>
                <c:formatCode>General</c:formatCode>
                <c:ptCount val="6"/>
                <c:pt idx="0">
                  <c:v>30</c:v>
                </c:pt>
                <c:pt idx="1">
                  <c:v>47</c:v>
                </c:pt>
                <c:pt idx="2">
                  <c:v>2</c:v>
                </c:pt>
                <c:pt idx="3">
                  <c:v>2</c:v>
                </c:pt>
                <c:pt idx="4">
                  <c:v>5</c:v>
                </c:pt>
                <c:pt idx="5">
                  <c:v>8</c:v>
                </c:pt>
              </c:numCache>
            </c:numRef>
          </c:val>
        </c:ser>
        <c:dLbls>
          <c:showLegendKey val="0"/>
          <c:showVal val="0"/>
          <c:showCatName val="0"/>
          <c:showSerName val="0"/>
          <c:showPercent val="0"/>
          <c:showBubbleSize val="0"/>
        </c:dLbls>
        <c:gapWidth val="150"/>
        <c:axId val="256743680"/>
        <c:axId val="298110976"/>
      </c:barChart>
      <c:catAx>
        <c:axId val="256743680"/>
        <c:scaling>
          <c:orientation val="minMax"/>
        </c:scaling>
        <c:delete val="0"/>
        <c:axPos val="b"/>
        <c:numFmt formatCode="General" sourceLinked="1"/>
        <c:majorTickMark val="out"/>
        <c:minorTickMark val="none"/>
        <c:tickLblPos val="nextTo"/>
        <c:spPr>
          <a:ln w="3166">
            <a:solidFill>
              <a:srgbClr val="000000"/>
            </a:solidFill>
            <a:prstDash val="solid"/>
          </a:ln>
        </c:spPr>
        <c:txPr>
          <a:bodyPr rot="-5400000" vert="horz"/>
          <a:lstStyle/>
          <a:p>
            <a:pPr>
              <a:defRPr sz="1196" b="1" i="0" u="none" strike="noStrike" baseline="0">
                <a:solidFill>
                  <a:srgbClr val="000000"/>
                </a:solidFill>
                <a:latin typeface="Arial"/>
                <a:ea typeface="Arial"/>
                <a:cs typeface="Arial"/>
              </a:defRPr>
            </a:pPr>
            <a:endParaRPr lang="da-DK"/>
          </a:p>
        </c:txPr>
        <c:crossAx val="298110976"/>
        <c:crosses val="autoZero"/>
        <c:auto val="1"/>
        <c:lblAlgn val="ctr"/>
        <c:lblOffset val="100"/>
        <c:tickLblSkip val="1"/>
        <c:tickMarkSkip val="1"/>
        <c:noMultiLvlLbl val="0"/>
      </c:catAx>
      <c:valAx>
        <c:axId val="298110976"/>
        <c:scaling>
          <c:orientation val="minMax"/>
        </c:scaling>
        <c:delete val="0"/>
        <c:axPos val="l"/>
        <c:numFmt formatCode="General" sourceLinked="1"/>
        <c:majorTickMark val="out"/>
        <c:minorTickMark val="none"/>
        <c:tickLblPos val="nextTo"/>
        <c:spPr>
          <a:ln w="3166">
            <a:solidFill>
              <a:srgbClr val="000000"/>
            </a:solidFill>
            <a:prstDash val="solid"/>
          </a:ln>
        </c:spPr>
        <c:txPr>
          <a:bodyPr rot="0" vert="horz"/>
          <a:lstStyle/>
          <a:p>
            <a:pPr>
              <a:defRPr sz="1196" b="1" i="0" u="none" strike="noStrike" baseline="0">
                <a:solidFill>
                  <a:srgbClr val="000000"/>
                </a:solidFill>
                <a:latin typeface="Arial"/>
                <a:ea typeface="Arial"/>
                <a:cs typeface="Arial"/>
              </a:defRPr>
            </a:pPr>
            <a:endParaRPr lang="da-DK"/>
          </a:p>
        </c:txPr>
        <c:crossAx val="256743680"/>
        <c:crosses val="autoZero"/>
        <c:crossBetween val="between"/>
      </c:valAx>
      <c:spPr>
        <a:solidFill>
          <a:srgbClr val="C0C0C0"/>
        </a:solidFill>
        <a:ln w="12663">
          <a:solidFill>
            <a:srgbClr val="808080"/>
          </a:solidFill>
          <a:prstDash val="solid"/>
        </a:ln>
      </c:spPr>
    </c:plotArea>
    <c:plotVisOnly val="1"/>
    <c:dispBlanksAs val="gap"/>
    <c:showDLblsOverMax val="0"/>
  </c:chart>
  <c:spPr>
    <a:noFill/>
    <a:ln>
      <a:noFill/>
    </a:ln>
  </c:spPr>
  <c:txPr>
    <a:bodyPr/>
    <a:lstStyle/>
    <a:p>
      <a:pPr>
        <a:defRPr sz="1196" b="1" i="0" u="none" strike="noStrike" baseline="0">
          <a:solidFill>
            <a:srgbClr val="000000"/>
          </a:solidFill>
          <a:latin typeface="Arial"/>
          <a:ea typeface="Arial"/>
          <a:cs typeface="Arial"/>
        </a:defRPr>
      </a:pPr>
      <a:endParaRPr lang="da-DK"/>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490683229813664"/>
          <c:y val="0.11538461538461539"/>
          <c:w val="0.44099378881987578"/>
          <c:h val="0.78021978021978022"/>
        </c:manualLayout>
      </c:layout>
      <c:pieChart>
        <c:varyColors val="1"/>
        <c:ser>
          <c:idx val="0"/>
          <c:order val="0"/>
          <c:tx>
            <c:strRef>
              <c:f>Sheet1!$A$2</c:f>
              <c:strCache>
                <c:ptCount val="1"/>
              </c:strCache>
            </c:strRef>
          </c:tx>
          <c:spPr>
            <a:solidFill>
              <a:srgbClr val="9999FF"/>
            </a:solidFill>
            <a:ln w="12700">
              <a:solidFill>
                <a:srgbClr val="000000"/>
              </a:solidFill>
              <a:prstDash val="solid"/>
            </a:ln>
          </c:spPr>
          <c:dPt>
            <c:idx val="0"/>
            <c:bubble3D val="0"/>
          </c:dPt>
          <c:dPt>
            <c:idx val="1"/>
            <c:bubble3D val="0"/>
            <c:spPr>
              <a:solidFill>
                <a:srgbClr val="993366"/>
              </a:solidFill>
              <a:ln w="12700">
                <a:solidFill>
                  <a:srgbClr val="000000"/>
                </a:solidFill>
                <a:prstDash val="solid"/>
              </a:ln>
            </c:spPr>
          </c:dPt>
          <c:dPt>
            <c:idx val="2"/>
            <c:bubble3D val="0"/>
            <c:spPr>
              <a:solidFill>
                <a:srgbClr val="FFFFCC"/>
              </a:solidFill>
              <a:ln w="12700">
                <a:solidFill>
                  <a:srgbClr val="000000"/>
                </a:solidFill>
                <a:prstDash val="solid"/>
              </a:ln>
            </c:spPr>
          </c:dPt>
          <c:dPt>
            <c:idx val="3"/>
            <c:bubble3D val="0"/>
            <c:spPr>
              <a:solidFill>
                <a:srgbClr val="CCFFFF"/>
              </a:solidFill>
              <a:ln w="12700">
                <a:solidFill>
                  <a:srgbClr val="000000"/>
                </a:solidFill>
                <a:prstDash val="solid"/>
              </a:ln>
            </c:spPr>
          </c:dPt>
          <c:cat>
            <c:strRef>
              <c:f>Sheet1!$B$1:$E$1</c:f>
              <c:strCache>
                <c:ptCount val="4"/>
                <c:pt idx="0">
                  <c:v>Product Designer</c:v>
                </c:pt>
                <c:pt idx="1">
                  <c:v>Marketing</c:v>
                </c:pt>
                <c:pt idx="2">
                  <c:v>Compliance/QA</c:v>
                </c:pt>
                <c:pt idx="3">
                  <c:v>Other</c:v>
                </c:pt>
              </c:strCache>
            </c:strRef>
          </c:cat>
          <c:val>
            <c:numRef>
              <c:f>Sheet1!$B$2:$E$2</c:f>
              <c:numCache>
                <c:formatCode>General</c:formatCode>
                <c:ptCount val="4"/>
                <c:pt idx="0">
                  <c:v>39</c:v>
                </c:pt>
                <c:pt idx="1">
                  <c:v>9</c:v>
                </c:pt>
                <c:pt idx="2">
                  <c:v>13</c:v>
                </c:pt>
                <c:pt idx="3">
                  <c:v>15</c:v>
                </c:pt>
              </c:numCache>
            </c:numRef>
          </c:val>
        </c:ser>
        <c:dLbls>
          <c:showLegendKey val="0"/>
          <c:showVal val="0"/>
          <c:showCatName val="0"/>
          <c:showSerName val="0"/>
          <c:showPercent val="0"/>
          <c:showBubbleSize val="0"/>
          <c:showLeaderLines val="1"/>
        </c:dLbls>
        <c:firstSliceAng val="0"/>
      </c:pieChart>
      <c:spPr>
        <a:solidFill>
          <a:srgbClr val="C0C0C0"/>
        </a:solidFill>
        <a:ln w="12700">
          <a:solidFill>
            <a:srgbClr val="808080"/>
          </a:solidFill>
          <a:prstDash val="solid"/>
        </a:ln>
      </c:spPr>
    </c:plotArea>
    <c:legend>
      <c:legendPos val="r"/>
      <c:layout>
        <c:manualLayout>
          <c:xMode val="edge"/>
          <c:yMode val="edge"/>
          <c:x val="0.67080745341614911"/>
          <c:y val="0.13736263736263737"/>
          <c:w val="0.31677018633540371"/>
          <c:h val="0.73076923076923073"/>
        </c:manualLayout>
      </c:layout>
      <c:overlay val="0"/>
      <c:spPr>
        <a:noFill/>
        <a:ln w="3175">
          <a:solidFill>
            <a:srgbClr val="000000"/>
          </a:solidFill>
          <a:prstDash val="solid"/>
        </a:ln>
      </c:spPr>
      <c:txPr>
        <a:bodyPr/>
        <a:lstStyle/>
        <a:p>
          <a:pPr>
            <a:defRPr sz="735" b="1" i="0" u="none" strike="noStrike" baseline="0">
              <a:solidFill>
                <a:srgbClr val="000000"/>
              </a:solidFill>
              <a:latin typeface="Arial"/>
              <a:ea typeface="Arial"/>
              <a:cs typeface="Arial"/>
            </a:defRPr>
          </a:pPr>
          <a:endParaRPr lang="da-DK"/>
        </a:p>
      </c:txPr>
    </c:legend>
    <c:plotVisOnly val="1"/>
    <c:dispBlanksAs val="zero"/>
    <c:showDLblsOverMax val="0"/>
  </c:chart>
  <c:spPr>
    <a:noFill/>
    <a:ln>
      <a:noFill/>
    </a:ln>
  </c:spPr>
  <c:txPr>
    <a:bodyPr/>
    <a:lstStyle/>
    <a:p>
      <a:pPr>
        <a:defRPr sz="800" b="1" i="0" u="none" strike="noStrike" baseline="0">
          <a:solidFill>
            <a:srgbClr val="000000"/>
          </a:solidFill>
          <a:latin typeface="Arial"/>
          <a:ea typeface="Arial"/>
          <a:cs typeface="Arial"/>
        </a:defRPr>
      </a:pPr>
      <a:endParaRPr lang="da-DK"/>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4183673469387751E-2"/>
          <c:y val="0.11538461538461539"/>
          <c:w val="0.8928571428571429"/>
          <c:h val="0.60439560439560436"/>
        </c:manualLayout>
      </c:layout>
      <c:barChart>
        <c:barDir val="col"/>
        <c:grouping val="clustered"/>
        <c:varyColors val="0"/>
        <c:ser>
          <c:idx val="0"/>
          <c:order val="0"/>
          <c:tx>
            <c:strRef>
              <c:f>Sheet1!$A$2</c:f>
              <c:strCache>
                <c:ptCount val="1"/>
              </c:strCache>
            </c:strRef>
          </c:tx>
          <c:spPr>
            <a:solidFill>
              <a:srgbClr val="9999FF"/>
            </a:solidFill>
            <a:ln w="12679">
              <a:solidFill>
                <a:srgbClr val="000000"/>
              </a:solidFill>
              <a:prstDash val="solid"/>
            </a:ln>
          </c:spPr>
          <c:invertIfNegative val="0"/>
          <c:cat>
            <c:strRef>
              <c:f>Sheet1!$B$1:$G$1</c:f>
              <c:strCache>
                <c:ptCount val="6"/>
                <c:pt idx="0">
                  <c:v>FHSS</c:v>
                </c:pt>
                <c:pt idx="1">
                  <c:v>DSSS</c:v>
                </c:pt>
                <c:pt idx="2">
                  <c:v>LBT + AFA</c:v>
                </c:pt>
                <c:pt idx="3">
                  <c:v>LBT</c:v>
                </c:pt>
                <c:pt idx="4">
                  <c:v>Duty Cycle</c:v>
                </c:pt>
                <c:pt idx="5">
                  <c:v>Other</c:v>
                </c:pt>
              </c:strCache>
            </c:strRef>
          </c:cat>
          <c:val>
            <c:numRef>
              <c:f>Sheet1!$B$2:$G$2</c:f>
              <c:numCache>
                <c:formatCode>General</c:formatCode>
                <c:ptCount val="6"/>
                <c:pt idx="0">
                  <c:v>10</c:v>
                </c:pt>
                <c:pt idx="1">
                  <c:v>2</c:v>
                </c:pt>
                <c:pt idx="2">
                  <c:v>11</c:v>
                </c:pt>
                <c:pt idx="3">
                  <c:v>6</c:v>
                </c:pt>
                <c:pt idx="4">
                  <c:v>53</c:v>
                </c:pt>
                <c:pt idx="5">
                  <c:v>9</c:v>
                </c:pt>
              </c:numCache>
            </c:numRef>
          </c:val>
        </c:ser>
        <c:dLbls>
          <c:showLegendKey val="0"/>
          <c:showVal val="0"/>
          <c:showCatName val="0"/>
          <c:showSerName val="0"/>
          <c:showPercent val="0"/>
          <c:showBubbleSize val="0"/>
        </c:dLbls>
        <c:gapWidth val="150"/>
        <c:axId val="298973440"/>
        <c:axId val="300158976"/>
      </c:barChart>
      <c:catAx>
        <c:axId val="298973440"/>
        <c:scaling>
          <c:orientation val="minMax"/>
        </c:scaling>
        <c:delete val="0"/>
        <c:axPos val="b"/>
        <c:numFmt formatCode="General" sourceLinked="1"/>
        <c:majorTickMark val="out"/>
        <c:minorTickMark val="none"/>
        <c:tickLblPos val="nextTo"/>
        <c:spPr>
          <a:ln w="3170">
            <a:solidFill>
              <a:srgbClr val="000000"/>
            </a:solidFill>
            <a:prstDash val="solid"/>
          </a:ln>
        </c:spPr>
        <c:txPr>
          <a:bodyPr rot="0" vert="horz"/>
          <a:lstStyle/>
          <a:p>
            <a:pPr>
              <a:defRPr sz="799" b="1" i="0" u="none" strike="noStrike" baseline="0">
                <a:solidFill>
                  <a:srgbClr val="000000"/>
                </a:solidFill>
                <a:latin typeface="Arial"/>
                <a:ea typeface="Arial"/>
                <a:cs typeface="Arial"/>
              </a:defRPr>
            </a:pPr>
            <a:endParaRPr lang="da-DK"/>
          </a:p>
        </c:txPr>
        <c:crossAx val="300158976"/>
        <c:crosses val="autoZero"/>
        <c:auto val="1"/>
        <c:lblAlgn val="ctr"/>
        <c:lblOffset val="100"/>
        <c:tickLblSkip val="1"/>
        <c:tickMarkSkip val="1"/>
        <c:noMultiLvlLbl val="0"/>
      </c:catAx>
      <c:valAx>
        <c:axId val="300158976"/>
        <c:scaling>
          <c:orientation val="minMax"/>
        </c:scaling>
        <c:delete val="0"/>
        <c:axPos val="l"/>
        <c:numFmt formatCode="General" sourceLinked="1"/>
        <c:majorTickMark val="out"/>
        <c:minorTickMark val="none"/>
        <c:tickLblPos val="nextTo"/>
        <c:spPr>
          <a:ln w="3170">
            <a:solidFill>
              <a:srgbClr val="000000"/>
            </a:solidFill>
            <a:prstDash val="solid"/>
          </a:ln>
        </c:spPr>
        <c:txPr>
          <a:bodyPr rot="0" vert="horz"/>
          <a:lstStyle/>
          <a:p>
            <a:pPr>
              <a:defRPr sz="799" b="1" i="0" u="none" strike="noStrike" baseline="0">
                <a:solidFill>
                  <a:srgbClr val="000000"/>
                </a:solidFill>
                <a:latin typeface="Arial"/>
                <a:ea typeface="Arial"/>
                <a:cs typeface="Arial"/>
              </a:defRPr>
            </a:pPr>
            <a:endParaRPr lang="da-DK"/>
          </a:p>
        </c:txPr>
        <c:crossAx val="298973440"/>
        <c:crosses val="autoZero"/>
        <c:crossBetween val="between"/>
      </c:valAx>
      <c:spPr>
        <a:solidFill>
          <a:srgbClr val="C0C0C0"/>
        </a:solidFill>
        <a:ln w="12679">
          <a:solidFill>
            <a:srgbClr val="808080"/>
          </a:solidFill>
          <a:prstDash val="solid"/>
        </a:ln>
      </c:spPr>
    </c:plotArea>
    <c:plotVisOnly val="1"/>
    <c:dispBlanksAs val="gap"/>
    <c:showDLblsOverMax val="0"/>
  </c:chart>
  <c:spPr>
    <a:noFill/>
    <a:ln>
      <a:noFill/>
    </a:ln>
  </c:spPr>
  <c:txPr>
    <a:bodyPr/>
    <a:lstStyle/>
    <a:p>
      <a:pPr>
        <a:defRPr sz="799" b="1" i="0" u="none" strike="noStrike" baseline="0">
          <a:solidFill>
            <a:srgbClr val="000000"/>
          </a:solidFill>
          <a:latin typeface="Arial"/>
          <a:ea typeface="Arial"/>
          <a:cs typeface="Arial"/>
        </a:defRPr>
      </a:pPr>
      <a:endParaRPr lang="da-DK"/>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601532567049809"/>
          <c:y val="8.2508250825082508E-2"/>
          <c:w val="0.75478927203065138"/>
          <c:h val="0.55775577557755773"/>
        </c:manualLayout>
      </c:layout>
      <c:lineChart>
        <c:grouping val="standard"/>
        <c:varyColors val="0"/>
        <c:ser>
          <c:idx val="0"/>
          <c:order val="0"/>
          <c:tx>
            <c:strRef>
              <c:f>Sheet1!$A$2</c:f>
              <c:strCache>
                <c:ptCount val="1"/>
              </c:strCache>
            </c:strRef>
          </c:tx>
          <c:spPr>
            <a:ln w="12700">
              <a:solidFill>
                <a:srgbClr val="000080"/>
              </a:solidFill>
              <a:prstDash val="solid"/>
            </a:ln>
          </c:spPr>
          <c:marker>
            <c:symbol val="diamond"/>
            <c:size val="4"/>
            <c:spPr>
              <a:solidFill>
                <a:srgbClr val="000080"/>
              </a:solidFill>
              <a:ln>
                <a:solidFill>
                  <a:srgbClr val="000080"/>
                </a:solidFill>
                <a:prstDash val="solid"/>
              </a:ln>
            </c:spPr>
          </c:marker>
          <c:cat>
            <c:strRef>
              <c:f>Sheet1!$B$1:$H$1</c:f>
              <c:strCache>
                <c:ptCount val="7"/>
                <c:pt idx="0">
                  <c:v>Narrowband</c:v>
                </c:pt>
                <c:pt idx="1">
                  <c:v>30/35/40</c:v>
                </c:pt>
                <c:pt idx="2">
                  <c:v>50/60/80/100</c:v>
                </c:pt>
                <c:pt idx="3">
                  <c:v>100/200</c:v>
                </c:pt>
                <c:pt idx="4">
                  <c:v>200/300/400</c:v>
                </c:pt>
                <c:pt idx="5">
                  <c:v>500/600 </c:v>
                </c:pt>
                <c:pt idx="6">
                  <c:v>800</c:v>
                </c:pt>
              </c:strCache>
            </c:strRef>
          </c:cat>
          <c:val>
            <c:numRef>
              <c:f>Sheet1!$B$2:$H$2</c:f>
              <c:numCache>
                <c:formatCode>General</c:formatCode>
                <c:ptCount val="7"/>
                <c:pt idx="0">
                  <c:v>26</c:v>
                </c:pt>
                <c:pt idx="1">
                  <c:v>6</c:v>
                </c:pt>
                <c:pt idx="2">
                  <c:v>9</c:v>
                </c:pt>
                <c:pt idx="3">
                  <c:v>20</c:v>
                </c:pt>
                <c:pt idx="4">
                  <c:v>15</c:v>
                </c:pt>
                <c:pt idx="5">
                  <c:v>5</c:v>
                </c:pt>
                <c:pt idx="6">
                  <c:v>1</c:v>
                </c:pt>
              </c:numCache>
            </c:numRef>
          </c:val>
          <c:smooth val="0"/>
        </c:ser>
        <c:dLbls>
          <c:showLegendKey val="0"/>
          <c:showVal val="0"/>
          <c:showCatName val="0"/>
          <c:showSerName val="0"/>
          <c:showPercent val="0"/>
          <c:showBubbleSize val="0"/>
        </c:dLbls>
        <c:marker val="1"/>
        <c:smooth val="0"/>
        <c:axId val="300186240"/>
        <c:axId val="300188416"/>
      </c:lineChart>
      <c:catAx>
        <c:axId val="300186240"/>
        <c:scaling>
          <c:orientation val="minMax"/>
        </c:scaling>
        <c:delete val="0"/>
        <c:axPos val="b"/>
        <c:numFmt formatCode="General" sourceLinked="1"/>
        <c:majorTickMark val="out"/>
        <c:minorTickMark val="none"/>
        <c:tickLblPos val="nextTo"/>
        <c:spPr>
          <a:ln w="3175">
            <a:solidFill>
              <a:srgbClr val="000000"/>
            </a:solidFill>
            <a:prstDash val="solid"/>
          </a:ln>
        </c:spPr>
        <c:txPr>
          <a:bodyPr rot="-2700000" vert="horz"/>
          <a:lstStyle/>
          <a:p>
            <a:pPr>
              <a:defRPr sz="1200" b="1" i="0" u="none" strike="noStrike" baseline="0">
                <a:solidFill>
                  <a:srgbClr val="000000"/>
                </a:solidFill>
                <a:latin typeface="Arial"/>
                <a:ea typeface="Arial"/>
                <a:cs typeface="Arial"/>
              </a:defRPr>
            </a:pPr>
            <a:endParaRPr lang="da-DK"/>
          </a:p>
        </c:txPr>
        <c:crossAx val="300188416"/>
        <c:crosses val="autoZero"/>
        <c:auto val="1"/>
        <c:lblAlgn val="ctr"/>
        <c:lblOffset val="100"/>
        <c:tickLblSkip val="1"/>
        <c:tickMarkSkip val="1"/>
        <c:noMultiLvlLbl val="0"/>
      </c:catAx>
      <c:valAx>
        <c:axId val="300188416"/>
        <c:scaling>
          <c:orientation val="minMax"/>
        </c:scaling>
        <c:delete val="0"/>
        <c:axPos val="l"/>
        <c:numFmt formatCode="General" sourceLinked="1"/>
        <c:majorTickMark val="out"/>
        <c:minorTickMark val="none"/>
        <c:tickLblPos val="nextTo"/>
        <c:spPr>
          <a:ln w="3175">
            <a:solidFill>
              <a:srgbClr val="000000"/>
            </a:solidFill>
            <a:prstDash val="solid"/>
          </a:ln>
        </c:spPr>
        <c:txPr>
          <a:bodyPr rot="0" vert="horz"/>
          <a:lstStyle/>
          <a:p>
            <a:pPr>
              <a:defRPr sz="1200" b="1" i="0" u="none" strike="noStrike" baseline="0">
                <a:solidFill>
                  <a:srgbClr val="000000"/>
                </a:solidFill>
                <a:latin typeface="Arial"/>
                <a:ea typeface="Arial"/>
                <a:cs typeface="Arial"/>
              </a:defRPr>
            </a:pPr>
            <a:endParaRPr lang="da-DK"/>
          </a:p>
        </c:txPr>
        <c:crossAx val="300186240"/>
        <c:crosses val="autoZero"/>
        <c:crossBetween val="between"/>
      </c:valAx>
      <c:spPr>
        <a:solidFill>
          <a:srgbClr val="C0C0C0"/>
        </a:solidFill>
        <a:ln w="12700">
          <a:solidFill>
            <a:srgbClr val="808080"/>
          </a:solidFill>
          <a:prstDash val="solid"/>
        </a:ln>
      </c:spPr>
    </c:plotArea>
    <c:legend>
      <c:legendPos val="r"/>
      <c:layout>
        <c:manualLayout>
          <c:xMode val="edge"/>
          <c:yMode val="edge"/>
          <c:x val="0.90996168582375481"/>
          <c:y val="0.32013201320132012"/>
          <c:w val="8.2375478927203066E-2"/>
          <c:h val="7.9207920792079209E-2"/>
        </c:manualLayout>
      </c:layout>
      <c:overlay val="0"/>
      <c:spPr>
        <a:noFill/>
        <a:ln w="3175">
          <a:solidFill>
            <a:srgbClr val="000000"/>
          </a:solidFill>
          <a:prstDash val="solid"/>
        </a:ln>
      </c:spPr>
      <c:txPr>
        <a:bodyPr/>
        <a:lstStyle/>
        <a:p>
          <a:pPr>
            <a:defRPr sz="1100" b="1" i="0" u="none" strike="noStrike" baseline="0">
              <a:solidFill>
                <a:srgbClr val="000000"/>
              </a:solidFill>
              <a:latin typeface="Arial"/>
              <a:ea typeface="Arial"/>
              <a:cs typeface="Arial"/>
            </a:defRPr>
          </a:pPr>
          <a:endParaRPr lang="da-DK"/>
        </a:p>
      </c:txPr>
    </c:legend>
    <c:plotVisOnly val="1"/>
    <c:dispBlanksAs val="gap"/>
    <c:showDLblsOverMax val="0"/>
  </c:chart>
  <c:spPr>
    <a:noFill/>
    <a:ln>
      <a:noFill/>
    </a:ln>
  </c:spPr>
  <c:txPr>
    <a:bodyPr/>
    <a:lstStyle/>
    <a:p>
      <a:pPr>
        <a:defRPr sz="1200" b="1" i="0" u="none" strike="noStrike" baseline="0">
          <a:solidFill>
            <a:srgbClr val="000000"/>
          </a:solidFill>
          <a:latin typeface="Arial"/>
          <a:ea typeface="Arial"/>
          <a:cs typeface="Arial"/>
        </a:defRPr>
      </a:pPr>
      <a:endParaRPr lang="da-DK"/>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0886075949367089"/>
          <c:y val="0.11538461538461539"/>
          <c:w val="0.44936708860759494"/>
          <c:h val="0.78021978021978022"/>
        </c:manualLayout>
      </c:layout>
      <c:pieChart>
        <c:varyColors val="1"/>
        <c:ser>
          <c:idx val="0"/>
          <c:order val="0"/>
          <c:tx>
            <c:strRef>
              <c:f>Sheet1!$A$2</c:f>
              <c:strCache>
                <c:ptCount val="1"/>
              </c:strCache>
            </c:strRef>
          </c:tx>
          <c:spPr>
            <a:solidFill>
              <a:srgbClr val="9999FF"/>
            </a:solidFill>
            <a:ln w="12675">
              <a:solidFill>
                <a:srgbClr val="000000"/>
              </a:solidFill>
              <a:prstDash val="solid"/>
            </a:ln>
          </c:spPr>
          <c:dPt>
            <c:idx val="0"/>
            <c:bubble3D val="0"/>
          </c:dPt>
          <c:dPt>
            <c:idx val="1"/>
            <c:bubble3D val="0"/>
            <c:explosion val="4"/>
            <c:spPr>
              <a:solidFill>
                <a:srgbClr val="993366"/>
              </a:solidFill>
              <a:ln w="12675">
                <a:solidFill>
                  <a:srgbClr val="000000"/>
                </a:solidFill>
                <a:prstDash val="solid"/>
              </a:ln>
            </c:spPr>
          </c:dPt>
          <c:cat>
            <c:strRef>
              <c:f>Sheet1!$B$1:$C$1</c:f>
              <c:strCache>
                <c:ptCount val="2"/>
                <c:pt idx="0">
                  <c:v>YES</c:v>
                </c:pt>
                <c:pt idx="1">
                  <c:v>NO</c:v>
                </c:pt>
              </c:strCache>
            </c:strRef>
          </c:cat>
          <c:val>
            <c:numRef>
              <c:f>Sheet1!$B$2:$C$2</c:f>
              <c:numCache>
                <c:formatCode>General</c:formatCode>
                <c:ptCount val="2"/>
                <c:pt idx="0">
                  <c:v>48</c:v>
                </c:pt>
                <c:pt idx="1">
                  <c:v>17</c:v>
                </c:pt>
              </c:numCache>
            </c:numRef>
          </c:val>
        </c:ser>
        <c:dLbls>
          <c:showLegendKey val="0"/>
          <c:showVal val="0"/>
          <c:showCatName val="0"/>
          <c:showSerName val="0"/>
          <c:showPercent val="0"/>
          <c:showBubbleSize val="0"/>
          <c:showLeaderLines val="1"/>
        </c:dLbls>
        <c:firstSliceAng val="0"/>
      </c:pieChart>
      <c:spPr>
        <a:solidFill>
          <a:srgbClr val="C0C0C0"/>
        </a:solidFill>
        <a:ln w="12675">
          <a:solidFill>
            <a:srgbClr val="808080"/>
          </a:solidFill>
          <a:prstDash val="solid"/>
        </a:ln>
      </c:spPr>
    </c:plotArea>
    <c:legend>
      <c:legendPos val="r"/>
      <c:layout>
        <c:manualLayout>
          <c:xMode val="edge"/>
          <c:yMode val="edge"/>
          <c:x val="0.86708860759493667"/>
          <c:y val="0.39560439560439559"/>
          <c:w val="0.12025316455696203"/>
          <c:h val="0.21428571428571427"/>
        </c:manualLayout>
      </c:layout>
      <c:overlay val="0"/>
      <c:spPr>
        <a:noFill/>
        <a:ln w="3169">
          <a:solidFill>
            <a:srgbClr val="000000"/>
          </a:solidFill>
          <a:prstDash val="solid"/>
        </a:ln>
      </c:spPr>
      <c:txPr>
        <a:bodyPr/>
        <a:lstStyle/>
        <a:p>
          <a:pPr>
            <a:defRPr sz="734" b="1" i="0" u="none" strike="noStrike" baseline="0">
              <a:solidFill>
                <a:srgbClr val="000000"/>
              </a:solidFill>
              <a:latin typeface="Arial"/>
              <a:ea typeface="Arial"/>
              <a:cs typeface="Arial"/>
            </a:defRPr>
          </a:pPr>
          <a:endParaRPr lang="da-DK"/>
        </a:p>
      </c:txPr>
    </c:legend>
    <c:plotVisOnly val="1"/>
    <c:dispBlanksAs val="zero"/>
    <c:showDLblsOverMax val="0"/>
  </c:chart>
  <c:spPr>
    <a:noFill/>
    <a:ln>
      <a:noFill/>
    </a:ln>
  </c:spPr>
  <c:txPr>
    <a:bodyPr/>
    <a:lstStyle/>
    <a:p>
      <a:pPr>
        <a:defRPr sz="798" b="1" i="0" u="none" strike="noStrike" baseline="0">
          <a:solidFill>
            <a:srgbClr val="000000"/>
          </a:solidFill>
          <a:latin typeface="Arial"/>
          <a:ea typeface="Arial"/>
          <a:cs typeface="Arial"/>
        </a:defRPr>
      </a:pPr>
      <a:endParaRPr lang="da-DK"/>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0886075949367089"/>
          <c:y val="0.11538461538461539"/>
          <c:w val="0.44936708860759494"/>
          <c:h val="0.78021978021978022"/>
        </c:manualLayout>
      </c:layout>
      <c:pieChart>
        <c:varyColors val="1"/>
        <c:ser>
          <c:idx val="0"/>
          <c:order val="0"/>
          <c:tx>
            <c:strRef>
              <c:f>Sheet1!$A$2</c:f>
              <c:strCache>
                <c:ptCount val="1"/>
              </c:strCache>
            </c:strRef>
          </c:tx>
          <c:spPr>
            <a:solidFill>
              <a:srgbClr val="9999FF"/>
            </a:solidFill>
            <a:ln w="12675">
              <a:solidFill>
                <a:srgbClr val="000000"/>
              </a:solidFill>
              <a:prstDash val="solid"/>
            </a:ln>
          </c:spPr>
          <c:dPt>
            <c:idx val="0"/>
            <c:bubble3D val="0"/>
          </c:dPt>
          <c:dPt>
            <c:idx val="1"/>
            <c:bubble3D val="0"/>
            <c:spPr>
              <a:solidFill>
                <a:srgbClr val="993366"/>
              </a:solidFill>
              <a:ln w="12675">
                <a:solidFill>
                  <a:srgbClr val="000000"/>
                </a:solidFill>
                <a:prstDash val="solid"/>
              </a:ln>
            </c:spPr>
          </c:dPt>
          <c:cat>
            <c:strRef>
              <c:f>Sheet1!$B$1:$C$1</c:f>
              <c:strCache>
                <c:ptCount val="2"/>
                <c:pt idx="0">
                  <c:v>YES</c:v>
                </c:pt>
                <c:pt idx="1">
                  <c:v>NO</c:v>
                </c:pt>
              </c:strCache>
            </c:strRef>
          </c:cat>
          <c:val>
            <c:numRef>
              <c:f>Sheet1!$B$2:$C$2</c:f>
              <c:numCache>
                <c:formatCode>General</c:formatCode>
                <c:ptCount val="2"/>
                <c:pt idx="0">
                  <c:v>40</c:v>
                </c:pt>
                <c:pt idx="1">
                  <c:v>27</c:v>
                </c:pt>
              </c:numCache>
            </c:numRef>
          </c:val>
        </c:ser>
        <c:dLbls>
          <c:showLegendKey val="0"/>
          <c:showVal val="0"/>
          <c:showCatName val="0"/>
          <c:showSerName val="0"/>
          <c:showPercent val="0"/>
          <c:showBubbleSize val="0"/>
          <c:showLeaderLines val="1"/>
        </c:dLbls>
        <c:firstSliceAng val="0"/>
      </c:pieChart>
      <c:spPr>
        <a:solidFill>
          <a:srgbClr val="C0C0C0"/>
        </a:solidFill>
        <a:ln w="12675">
          <a:solidFill>
            <a:srgbClr val="808080"/>
          </a:solidFill>
          <a:prstDash val="solid"/>
        </a:ln>
      </c:spPr>
    </c:plotArea>
    <c:legend>
      <c:legendPos val="r"/>
      <c:layout>
        <c:manualLayout>
          <c:xMode val="edge"/>
          <c:yMode val="edge"/>
          <c:x val="0.86708860759493667"/>
          <c:y val="0.39560439560439559"/>
          <c:w val="0.12025316455696203"/>
          <c:h val="0.21428571428571427"/>
        </c:manualLayout>
      </c:layout>
      <c:overlay val="0"/>
      <c:spPr>
        <a:noFill/>
        <a:ln w="3169">
          <a:solidFill>
            <a:srgbClr val="000000"/>
          </a:solidFill>
          <a:prstDash val="solid"/>
        </a:ln>
      </c:spPr>
      <c:txPr>
        <a:bodyPr/>
        <a:lstStyle/>
        <a:p>
          <a:pPr>
            <a:defRPr sz="734" b="1" i="0" u="none" strike="noStrike" baseline="0">
              <a:solidFill>
                <a:srgbClr val="000000"/>
              </a:solidFill>
              <a:latin typeface="Arial"/>
              <a:ea typeface="Arial"/>
              <a:cs typeface="Arial"/>
            </a:defRPr>
          </a:pPr>
          <a:endParaRPr lang="da-DK"/>
        </a:p>
      </c:txPr>
    </c:legend>
    <c:plotVisOnly val="1"/>
    <c:dispBlanksAs val="zero"/>
    <c:showDLblsOverMax val="0"/>
  </c:chart>
  <c:spPr>
    <a:noFill/>
    <a:ln>
      <a:noFill/>
    </a:ln>
  </c:spPr>
  <c:txPr>
    <a:bodyPr/>
    <a:lstStyle/>
    <a:p>
      <a:pPr>
        <a:defRPr sz="798" b="1" i="0" u="none" strike="noStrike" baseline="0">
          <a:solidFill>
            <a:srgbClr val="000000"/>
          </a:solidFill>
          <a:latin typeface="Arial"/>
          <a:ea typeface="Arial"/>
          <a:cs typeface="Arial"/>
        </a:defRPr>
      </a:pPr>
      <a:endParaRPr lang="da-DK"/>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0886075949367089"/>
          <c:y val="0.11538461538461539"/>
          <c:w val="0.44936708860759494"/>
          <c:h val="0.78021978021978022"/>
        </c:manualLayout>
      </c:layout>
      <c:pieChart>
        <c:varyColors val="1"/>
        <c:ser>
          <c:idx val="0"/>
          <c:order val="0"/>
          <c:tx>
            <c:strRef>
              <c:f>Sheet1!$A$2</c:f>
              <c:strCache>
                <c:ptCount val="1"/>
              </c:strCache>
            </c:strRef>
          </c:tx>
          <c:spPr>
            <a:solidFill>
              <a:srgbClr val="9999FF"/>
            </a:solidFill>
            <a:ln w="12675">
              <a:solidFill>
                <a:srgbClr val="000000"/>
              </a:solidFill>
              <a:prstDash val="solid"/>
            </a:ln>
          </c:spPr>
          <c:dPt>
            <c:idx val="0"/>
            <c:bubble3D val="0"/>
          </c:dPt>
          <c:dPt>
            <c:idx val="1"/>
            <c:bubble3D val="0"/>
            <c:spPr>
              <a:solidFill>
                <a:srgbClr val="993366"/>
              </a:solidFill>
              <a:ln w="12675">
                <a:solidFill>
                  <a:srgbClr val="000000"/>
                </a:solidFill>
                <a:prstDash val="solid"/>
              </a:ln>
            </c:spPr>
          </c:dPt>
          <c:cat>
            <c:strRef>
              <c:f>Sheet1!$B$1:$C$1</c:f>
              <c:strCache>
                <c:ptCount val="2"/>
                <c:pt idx="0">
                  <c:v>YES</c:v>
                </c:pt>
                <c:pt idx="1">
                  <c:v>NO</c:v>
                </c:pt>
              </c:strCache>
            </c:strRef>
          </c:cat>
          <c:val>
            <c:numRef>
              <c:f>Sheet1!$B$2:$C$2</c:f>
              <c:numCache>
                <c:formatCode>General</c:formatCode>
                <c:ptCount val="2"/>
                <c:pt idx="0">
                  <c:v>20</c:v>
                </c:pt>
                <c:pt idx="1">
                  <c:v>35</c:v>
                </c:pt>
              </c:numCache>
            </c:numRef>
          </c:val>
        </c:ser>
        <c:dLbls>
          <c:showLegendKey val="0"/>
          <c:showVal val="0"/>
          <c:showCatName val="0"/>
          <c:showSerName val="0"/>
          <c:showPercent val="0"/>
          <c:showBubbleSize val="0"/>
          <c:showLeaderLines val="1"/>
        </c:dLbls>
        <c:firstSliceAng val="0"/>
      </c:pieChart>
      <c:spPr>
        <a:solidFill>
          <a:srgbClr val="C0C0C0"/>
        </a:solidFill>
        <a:ln w="12675">
          <a:solidFill>
            <a:srgbClr val="808080"/>
          </a:solidFill>
          <a:prstDash val="solid"/>
        </a:ln>
      </c:spPr>
    </c:plotArea>
    <c:legend>
      <c:legendPos val="r"/>
      <c:layout>
        <c:manualLayout>
          <c:xMode val="edge"/>
          <c:yMode val="edge"/>
          <c:x val="0.86708860759493667"/>
          <c:y val="0.39560439560439559"/>
          <c:w val="0.12025316455696203"/>
          <c:h val="0.21428571428571427"/>
        </c:manualLayout>
      </c:layout>
      <c:overlay val="0"/>
      <c:spPr>
        <a:noFill/>
        <a:ln w="3169">
          <a:solidFill>
            <a:srgbClr val="000000"/>
          </a:solidFill>
          <a:prstDash val="solid"/>
        </a:ln>
      </c:spPr>
      <c:txPr>
        <a:bodyPr/>
        <a:lstStyle/>
        <a:p>
          <a:pPr>
            <a:defRPr sz="734" b="1" i="0" u="none" strike="noStrike" baseline="0">
              <a:solidFill>
                <a:srgbClr val="000000"/>
              </a:solidFill>
              <a:latin typeface="Arial"/>
              <a:ea typeface="Arial"/>
              <a:cs typeface="Arial"/>
            </a:defRPr>
          </a:pPr>
          <a:endParaRPr lang="da-DK"/>
        </a:p>
      </c:txPr>
    </c:legend>
    <c:plotVisOnly val="1"/>
    <c:dispBlanksAs val="zero"/>
    <c:showDLblsOverMax val="0"/>
  </c:chart>
  <c:spPr>
    <a:noFill/>
    <a:ln>
      <a:noFill/>
    </a:ln>
  </c:spPr>
  <c:txPr>
    <a:bodyPr/>
    <a:lstStyle/>
    <a:p>
      <a:pPr>
        <a:defRPr sz="798" b="1" i="0" u="none" strike="noStrike" baseline="0">
          <a:solidFill>
            <a:srgbClr val="000000"/>
          </a:solidFill>
          <a:latin typeface="Arial"/>
          <a:ea typeface="Arial"/>
          <a:cs typeface="Arial"/>
        </a:defRPr>
      </a:pPr>
      <a:endParaRPr lang="da-DK"/>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0886075949367089"/>
          <c:y val="0.11538461538461539"/>
          <c:w val="0.44936708860759494"/>
          <c:h val="0.78021978021978022"/>
        </c:manualLayout>
      </c:layout>
      <c:pieChart>
        <c:varyColors val="1"/>
        <c:ser>
          <c:idx val="0"/>
          <c:order val="0"/>
          <c:tx>
            <c:strRef>
              <c:f>Sheet1!$A$2</c:f>
              <c:strCache>
                <c:ptCount val="1"/>
              </c:strCache>
            </c:strRef>
          </c:tx>
          <c:spPr>
            <a:solidFill>
              <a:srgbClr val="9999FF"/>
            </a:solidFill>
            <a:ln w="12675">
              <a:solidFill>
                <a:srgbClr val="000000"/>
              </a:solidFill>
              <a:prstDash val="solid"/>
            </a:ln>
          </c:spPr>
          <c:dPt>
            <c:idx val="0"/>
            <c:bubble3D val="0"/>
          </c:dPt>
          <c:dPt>
            <c:idx val="1"/>
            <c:bubble3D val="0"/>
            <c:spPr>
              <a:solidFill>
                <a:srgbClr val="993366"/>
              </a:solidFill>
              <a:ln w="12675">
                <a:solidFill>
                  <a:srgbClr val="000000"/>
                </a:solidFill>
                <a:prstDash val="solid"/>
              </a:ln>
            </c:spPr>
          </c:dPt>
          <c:cat>
            <c:strRef>
              <c:f>Sheet1!$B$1:$C$1</c:f>
              <c:strCache>
                <c:ptCount val="2"/>
                <c:pt idx="0">
                  <c:v>YES</c:v>
                </c:pt>
                <c:pt idx="1">
                  <c:v>NO</c:v>
                </c:pt>
              </c:strCache>
            </c:strRef>
          </c:cat>
          <c:val>
            <c:numRef>
              <c:f>Sheet1!$B$2:$C$2</c:f>
              <c:numCache>
                <c:formatCode>General</c:formatCode>
                <c:ptCount val="2"/>
                <c:pt idx="0">
                  <c:v>10</c:v>
                </c:pt>
                <c:pt idx="1">
                  <c:v>38</c:v>
                </c:pt>
              </c:numCache>
            </c:numRef>
          </c:val>
        </c:ser>
        <c:dLbls>
          <c:showLegendKey val="0"/>
          <c:showVal val="0"/>
          <c:showCatName val="0"/>
          <c:showSerName val="0"/>
          <c:showPercent val="0"/>
          <c:showBubbleSize val="0"/>
          <c:showLeaderLines val="1"/>
        </c:dLbls>
        <c:firstSliceAng val="0"/>
      </c:pieChart>
      <c:spPr>
        <a:solidFill>
          <a:srgbClr val="C0C0C0"/>
        </a:solidFill>
        <a:ln w="12675">
          <a:solidFill>
            <a:srgbClr val="808080"/>
          </a:solidFill>
          <a:prstDash val="solid"/>
        </a:ln>
      </c:spPr>
    </c:plotArea>
    <c:legend>
      <c:legendPos val="r"/>
      <c:layout>
        <c:manualLayout>
          <c:xMode val="edge"/>
          <c:yMode val="edge"/>
          <c:x val="0.86708860759493667"/>
          <c:y val="0.39560439560439559"/>
          <c:w val="0.12025316455696203"/>
          <c:h val="0.21428571428571427"/>
        </c:manualLayout>
      </c:layout>
      <c:overlay val="0"/>
      <c:spPr>
        <a:noFill/>
        <a:ln w="3169">
          <a:solidFill>
            <a:srgbClr val="000000"/>
          </a:solidFill>
          <a:prstDash val="solid"/>
        </a:ln>
      </c:spPr>
      <c:txPr>
        <a:bodyPr/>
        <a:lstStyle/>
        <a:p>
          <a:pPr>
            <a:defRPr sz="734" b="1" i="0" u="none" strike="noStrike" baseline="0">
              <a:solidFill>
                <a:srgbClr val="000000"/>
              </a:solidFill>
              <a:latin typeface="Arial"/>
              <a:ea typeface="Arial"/>
              <a:cs typeface="Arial"/>
            </a:defRPr>
          </a:pPr>
          <a:endParaRPr lang="da-DK"/>
        </a:p>
      </c:txPr>
    </c:legend>
    <c:plotVisOnly val="1"/>
    <c:dispBlanksAs val="zero"/>
    <c:showDLblsOverMax val="0"/>
  </c:chart>
  <c:spPr>
    <a:noFill/>
    <a:ln>
      <a:noFill/>
    </a:ln>
  </c:spPr>
  <c:txPr>
    <a:bodyPr/>
    <a:lstStyle/>
    <a:p>
      <a:pPr>
        <a:defRPr sz="798" b="1" i="0" u="none" strike="noStrike" baseline="0">
          <a:solidFill>
            <a:srgbClr val="000000"/>
          </a:solidFill>
          <a:latin typeface="Arial"/>
          <a:ea typeface="Arial"/>
          <a:cs typeface="Arial"/>
        </a:defRPr>
      </a:pPr>
      <a:endParaRPr lang="da-DK"/>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0886075949367089"/>
          <c:y val="0.11538461538461539"/>
          <c:w val="0.44936708860759494"/>
          <c:h val="0.78021978021978022"/>
        </c:manualLayout>
      </c:layout>
      <c:pieChart>
        <c:varyColors val="1"/>
        <c:ser>
          <c:idx val="0"/>
          <c:order val="0"/>
          <c:tx>
            <c:strRef>
              <c:f>Sheet1!$A$2</c:f>
              <c:strCache>
                <c:ptCount val="1"/>
              </c:strCache>
            </c:strRef>
          </c:tx>
          <c:spPr>
            <a:solidFill>
              <a:srgbClr val="9999FF"/>
            </a:solidFill>
            <a:ln w="12675">
              <a:solidFill>
                <a:srgbClr val="000000"/>
              </a:solidFill>
              <a:prstDash val="solid"/>
            </a:ln>
          </c:spPr>
          <c:dPt>
            <c:idx val="0"/>
            <c:bubble3D val="0"/>
          </c:dPt>
          <c:dPt>
            <c:idx val="1"/>
            <c:bubble3D val="0"/>
            <c:spPr>
              <a:solidFill>
                <a:srgbClr val="993366"/>
              </a:solidFill>
              <a:ln w="12675">
                <a:solidFill>
                  <a:srgbClr val="000000"/>
                </a:solidFill>
                <a:prstDash val="solid"/>
              </a:ln>
            </c:spPr>
          </c:dPt>
          <c:cat>
            <c:strRef>
              <c:f>Sheet1!$B$1:$C$1</c:f>
              <c:strCache>
                <c:ptCount val="2"/>
                <c:pt idx="0">
                  <c:v>YES</c:v>
                </c:pt>
                <c:pt idx="1">
                  <c:v>NO</c:v>
                </c:pt>
              </c:strCache>
            </c:strRef>
          </c:cat>
          <c:val>
            <c:numRef>
              <c:f>Sheet1!$B$2:$C$2</c:f>
              <c:numCache>
                <c:formatCode>General</c:formatCode>
                <c:ptCount val="2"/>
                <c:pt idx="0">
                  <c:v>20</c:v>
                </c:pt>
                <c:pt idx="1">
                  <c:v>36</c:v>
                </c:pt>
              </c:numCache>
            </c:numRef>
          </c:val>
        </c:ser>
        <c:dLbls>
          <c:showLegendKey val="0"/>
          <c:showVal val="0"/>
          <c:showCatName val="0"/>
          <c:showSerName val="0"/>
          <c:showPercent val="0"/>
          <c:showBubbleSize val="0"/>
          <c:showLeaderLines val="1"/>
        </c:dLbls>
        <c:firstSliceAng val="0"/>
      </c:pieChart>
      <c:spPr>
        <a:solidFill>
          <a:srgbClr val="C0C0C0"/>
        </a:solidFill>
        <a:ln w="12675">
          <a:solidFill>
            <a:srgbClr val="808080"/>
          </a:solidFill>
          <a:prstDash val="solid"/>
        </a:ln>
      </c:spPr>
    </c:plotArea>
    <c:legend>
      <c:legendPos val="r"/>
      <c:layout>
        <c:manualLayout>
          <c:xMode val="edge"/>
          <c:yMode val="edge"/>
          <c:x val="0.86708860759493667"/>
          <c:y val="0.39560439560439559"/>
          <c:w val="0.12025316455696203"/>
          <c:h val="0.21428571428571427"/>
        </c:manualLayout>
      </c:layout>
      <c:overlay val="0"/>
      <c:spPr>
        <a:noFill/>
        <a:ln w="3169">
          <a:solidFill>
            <a:srgbClr val="000000"/>
          </a:solidFill>
          <a:prstDash val="solid"/>
        </a:ln>
      </c:spPr>
      <c:txPr>
        <a:bodyPr/>
        <a:lstStyle/>
        <a:p>
          <a:pPr>
            <a:defRPr sz="734" b="1" i="0" u="none" strike="noStrike" baseline="0">
              <a:solidFill>
                <a:srgbClr val="000000"/>
              </a:solidFill>
              <a:latin typeface="Arial"/>
              <a:ea typeface="Arial"/>
              <a:cs typeface="Arial"/>
            </a:defRPr>
          </a:pPr>
          <a:endParaRPr lang="da-DK"/>
        </a:p>
      </c:txPr>
    </c:legend>
    <c:plotVisOnly val="1"/>
    <c:dispBlanksAs val="zero"/>
    <c:showDLblsOverMax val="0"/>
  </c:chart>
  <c:spPr>
    <a:noFill/>
    <a:ln>
      <a:noFill/>
    </a:ln>
  </c:spPr>
  <c:txPr>
    <a:bodyPr/>
    <a:lstStyle/>
    <a:p>
      <a:pPr>
        <a:defRPr sz="798" b="1" i="0" u="none" strike="noStrike" baseline="0">
          <a:solidFill>
            <a:srgbClr val="000000"/>
          </a:solidFill>
          <a:latin typeface="Arial"/>
          <a:ea typeface="Arial"/>
          <a:cs typeface="Arial"/>
        </a:defRPr>
      </a:pPr>
      <a:endParaRPr lang="da-DK"/>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0886075949367089"/>
          <c:y val="0.11538461538461539"/>
          <c:w val="0.44936708860759494"/>
          <c:h val="0.78021978021978022"/>
        </c:manualLayout>
      </c:layout>
      <c:pieChart>
        <c:varyColors val="1"/>
        <c:ser>
          <c:idx val="0"/>
          <c:order val="0"/>
          <c:tx>
            <c:strRef>
              <c:f>Sheet1!$A$2</c:f>
              <c:strCache>
                <c:ptCount val="1"/>
              </c:strCache>
            </c:strRef>
          </c:tx>
          <c:spPr>
            <a:solidFill>
              <a:srgbClr val="9999FF"/>
            </a:solidFill>
            <a:ln w="12675">
              <a:solidFill>
                <a:srgbClr val="000000"/>
              </a:solidFill>
              <a:prstDash val="solid"/>
            </a:ln>
          </c:spPr>
          <c:dPt>
            <c:idx val="0"/>
            <c:bubble3D val="0"/>
          </c:dPt>
          <c:dPt>
            <c:idx val="1"/>
            <c:bubble3D val="0"/>
            <c:spPr>
              <a:solidFill>
                <a:srgbClr val="993366"/>
              </a:solidFill>
              <a:ln w="12675">
                <a:solidFill>
                  <a:srgbClr val="000000"/>
                </a:solidFill>
                <a:prstDash val="solid"/>
              </a:ln>
            </c:spPr>
          </c:dPt>
          <c:cat>
            <c:strRef>
              <c:f>Sheet1!$B$1:$C$1</c:f>
              <c:strCache>
                <c:ptCount val="2"/>
                <c:pt idx="0">
                  <c:v>YES</c:v>
                </c:pt>
                <c:pt idx="1">
                  <c:v>NO</c:v>
                </c:pt>
              </c:strCache>
            </c:strRef>
          </c:cat>
          <c:val>
            <c:numRef>
              <c:f>Sheet1!$B$2:$C$2</c:f>
              <c:numCache>
                <c:formatCode>General</c:formatCode>
                <c:ptCount val="2"/>
                <c:pt idx="0">
                  <c:v>14</c:v>
                </c:pt>
                <c:pt idx="1">
                  <c:v>42</c:v>
                </c:pt>
              </c:numCache>
            </c:numRef>
          </c:val>
        </c:ser>
        <c:dLbls>
          <c:showLegendKey val="0"/>
          <c:showVal val="0"/>
          <c:showCatName val="0"/>
          <c:showSerName val="0"/>
          <c:showPercent val="0"/>
          <c:showBubbleSize val="0"/>
          <c:showLeaderLines val="1"/>
        </c:dLbls>
        <c:firstSliceAng val="0"/>
      </c:pieChart>
      <c:spPr>
        <a:solidFill>
          <a:srgbClr val="C0C0C0"/>
        </a:solidFill>
        <a:ln w="12675">
          <a:solidFill>
            <a:srgbClr val="808080"/>
          </a:solidFill>
          <a:prstDash val="solid"/>
        </a:ln>
      </c:spPr>
    </c:plotArea>
    <c:legend>
      <c:legendPos val="r"/>
      <c:layout>
        <c:manualLayout>
          <c:xMode val="edge"/>
          <c:yMode val="edge"/>
          <c:x val="0.86708860759493667"/>
          <c:y val="0.39560439560439559"/>
          <c:w val="0.12025316455696203"/>
          <c:h val="0.21428571428571427"/>
        </c:manualLayout>
      </c:layout>
      <c:overlay val="0"/>
      <c:spPr>
        <a:noFill/>
        <a:ln w="3169">
          <a:solidFill>
            <a:srgbClr val="000000"/>
          </a:solidFill>
          <a:prstDash val="solid"/>
        </a:ln>
      </c:spPr>
      <c:txPr>
        <a:bodyPr/>
        <a:lstStyle/>
        <a:p>
          <a:pPr>
            <a:defRPr sz="734" b="1" i="0" u="none" strike="noStrike" baseline="0">
              <a:solidFill>
                <a:srgbClr val="000000"/>
              </a:solidFill>
              <a:latin typeface="Arial"/>
              <a:ea typeface="Arial"/>
              <a:cs typeface="Arial"/>
            </a:defRPr>
          </a:pPr>
          <a:endParaRPr lang="da-DK"/>
        </a:p>
      </c:txPr>
    </c:legend>
    <c:plotVisOnly val="1"/>
    <c:dispBlanksAs val="zero"/>
    <c:showDLblsOverMax val="0"/>
  </c:chart>
  <c:spPr>
    <a:noFill/>
    <a:ln>
      <a:noFill/>
    </a:ln>
  </c:spPr>
  <c:txPr>
    <a:bodyPr/>
    <a:lstStyle/>
    <a:p>
      <a:pPr>
        <a:defRPr sz="798" b="1" i="0" u="none" strike="noStrike" baseline="0">
          <a:solidFill>
            <a:srgbClr val="000000"/>
          </a:solidFill>
          <a:latin typeface="Arial"/>
          <a:ea typeface="Arial"/>
          <a:cs typeface="Arial"/>
        </a:defRPr>
      </a:pPr>
      <a:endParaRPr lang="da-DK"/>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0886075949367089"/>
          <c:y val="0.11538461538461539"/>
          <c:w val="0.44936708860759494"/>
          <c:h val="0.78021978021978022"/>
        </c:manualLayout>
      </c:layout>
      <c:pieChart>
        <c:varyColors val="1"/>
        <c:ser>
          <c:idx val="0"/>
          <c:order val="0"/>
          <c:tx>
            <c:strRef>
              <c:f>Sheet1!$A$2</c:f>
              <c:strCache>
                <c:ptCount val="1"/>
              </c:strCache>
            </c:strRef>
          </c:tx>
          <c:spPr>
            <a:solidFill>
              <a:srgbClr val="9999FF"/>
            </a:solidFill>
            <a:ln w="12675">
              <a:solidFill>
                <a:srgbClr val="000000"/>
              </a:solidFill>
              <a:prstDash val="solid"/>
            </a:ln>
          </c:spPr>
          <c:dPt>
            <c:idx val="0"/>
            <c:bubble3D val="0"/>
          </c:dPt>
          <c:dPt>
            <c:idx val="1"/>
            <c:bubble3D val="0"/>
            <c:spPr>
              <a:solidFill>
                <a:srgbClr val="993366"/>
              </a:solidFill>
              <a:ln w="12675">
                <a:solidFill>
                  <a:srgbClr val="000000"/>
                </a:solidFill>
                <a:prstDash val="solid"/>
              </a:ln>
            </c:spPr>
          </c:dPt>
          <c:cat>
            <c:strRef>
              <c:f>Sheet1!$B$1:$C$1</c:f>
              <c:strCache>
                <c:ptCount val="2"/>
                <c:pt idx="0">
                  <c:v>YES</c:v>
                </c:pt>
                <c:pt idx="1">
                  <c:v>NO</c:v>
                </c:pt>
              </c:strCache>
            </c:strRef>
          </c:cat>
          <c:val>
            <c:numRef>
              <c:f>Sheet1!$B$2:$C$2</c:f>
              <c:numCache>
                <c:formatCode>General</c:formatCode>
                <c:ptCount val="2"/>
                <c:pt idx="0">
                  <c:v>56</c:v>
                </c:pt>
                <c:pt idx="1">
                  <c:v>7</c:v>
                </c:pt>
              </c:numCache>
            </c:numRef>
          </c:val>
        </c:ser>
        <c:dLbls>
          <c:showLegendKey val="0"/>
          <c:showVal val="0"/>
          <c:showCatName val="0"/>
          <c:showSerName val="0"/>
          <c:showPercent val="0"/>
          <c:showBubbleSize val="0"/>
          <c:showLeaderLines val="1"/>
        </c:dLbls>
        <c:firstSliceAng val="0"/>
      </c:pieChart>
      <c:spPr>
        <a:solidFill>
          <a:srgbClr val="C0C0C0"/>
        </a:solidFill>
        <a:ln w="12675">
          <a:solidFill>
            <a:srgbClr val="808080"/>
          </a:solidFill>
          <a:prstDash val="solid"/>
        </a:ln>
      </c:spPr>
    </c:plotArea>
    <c:legend>
      <c:legendPos val="r"/>
      <c:layout>
        <c:manualLayout>
          <c:xMode val="edge"/>
          <c:yMode val="edge"/>
          <c:x val="0.86708860759493667"/>
          <c:y val="0.39560439560439559"/>
          <c:w val="0.12025316455696203"/>
          <c:h val="0.21428571428571427"/>
        </c:manualLayout>
      </c:layout>
      <c:overlay val="0"/>
      <c:spPr>
        <a:noFill/>
        <a:ln w="3169">
          <a:solidFill>
            <a:srgbClr val="000000"/>
          </a:solidFill>
          <a:prstDash val="solid"/>
        </a:ln>
      </c:spPr>
      <c:txPr>
        <a:bodyPr/>
        <a:lstStyle/>
        <a:p>
          <a:pPr>
            <a:defRPr sz="734" b="1" i="0" u="none" strike="noStrike" baseline="0">
              <a:solidFill>
                <a:srgbClr val="000000"/>
              </a:solidFill>
              <a:latin typeface="Arial"/>
              <a:ea typeface="Arial"/>
              <a:cs typeface="Arial"/>
            </a:defRPr>
          </a:pPr>
          <a:endParaRPr lang="da-DK"/>
        </a:p>
      </c:txPr>
    </c:legend>
    <c:plotVisOnly val="1"/>
    <c:dispBlanksAs val="zero"/>
    <c:showDLblsOverMax val="0"/>
  </c:chart>
  <c:spPr>
    <a:noFill/>
    <a:ln>
      <a:noFill/>
    </a:ln>
  </c:spPr>
  <c:txPr>
    <a:bodyPr/>
    <a:lstStyle/>
    <a:p>
      <a:pPr>
        <a:defRPr sz="798" b="1" i="0" u="none" strike="noStrike" baseline="0">
          <a:solidFill>
            <a:srgbClr val="000000"/>
          </a:solidFill>
          <a:latin typeface="Arial"/>
          <a:ea typeface="Arial"/>
          <a:cs typeface="Arial"/>
        </a:defRPr>
      </a:pPr>
      <a:endParaRPr lang="da-DK"/>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0886075949367089"/>
          <c:y val="0.11538461538461539"/>
          <c:w val="0.44936708860759494"/>
          <c:h val="0.78021978021978022"/>
        </c:manualLayout>
      </c:layout>
      <c:pieChart>
        <c:varyColors val="1"/>
        <c:ser>
          <c:idx val="0"/>
          <c:order val="0"/>
          <c:tx>
            <c:strRef>
              <c:f>Sheet1!$A$2</c:f>
              <c:strCache>
                <c:ptCount val="1"/>
              </c:strCache>
            </c:strRef>
          </c:tx>
          <c:spPr>
            <a:solidFill>
              <a:srgbClr val="9999FF"/>
            </a:solidFill>
            <a:ln w="12700">
              <a:solidFill>
                <a:srgbClr val="000000"/>
              </a:solidFill>
              <a:prstDash val="solid"/>
            </a:ln>
          </c:spPr>
          <c:dPt>
            <c:idx val="0"/>
            <c:bubble3D val="0"/>
          </c:dPt>
          <c:dPt>
            <c:idx val="1"/>
            <c:bubble3D val="0"/>
            <c:spPr>
              <a:solidFill>
                <a:srgbClr val="993366"/>
              </a:solidFill>
              <a:ln w="12700">
                <a:solidFill>
                  <a:srgbClr val="000000"/>
                </a:solidFill>
                <a:prstDash val="solid"/>
              </a:ln>
            </c:spPr>
          </c:dPt>
          <c:cat>
            <c:strRef>
              <c:f>Sheet1!$B$1:$C$1</c:f>
              <c:strCache>
                <c:ptCount val="2"/>
                <c:pt idx="0">
                  <c:v>YES</c:v>
                </c:pt>
                <c:pt idx="1">
                  <c:v>NO</c:v>
                </c:pt>
              </c:strCache>
            </c:strRef>
          </c:cat>
          <c:val>
            <c:numRef>
              <c:f>Sheet1!$B$2:$C$2</c:f>
              <c:numCache>
                <c:formatCode>General</c:formatCode>
                <c:ptCount val="2"/>
                <c:pt idx="0">
                  <c:v>34</c:v>
                </c:pt>
                <c:pt idx="1">
                  <c:v>27</c:v>
                </c:pt>
              </c:numCache>
            </c:numRef>
          </c:val>
        </c:ser>
        <c:dLbls>
          <c:showLegendKey val="0"/>
          <c:showVal val="0"/>
          <c:showCatName val="0"/>
          <c:showSerName val="0"/>
          <c:showPercent val="0"/>
          <c:showBubbleSize val="0"/>
          <c:showLeaderLines val="1"/>
        </c:dLbls>
        <c:firstSliceAng val="0"/>
      </c:pieChart>
      <c:spPr>
        <a:solidFill>
          <a:srgbClr val="C0C0C0"/>
        </a:solidFill>
        <a:ln w="12700">
          <a:solidFill>
            <a:srgbClr val="808080"/>
          </a:solidFill>
          <a:prstDash val="solid"/>
        </a:ln>
      </c:spPr>
    </c:plotArea>
    <c:legend>
      <c:legendPos val="r"/>
      <c:layout>
        <c:manualLayout>
          <c:xMode val="edge"/>
          <c:yMode val="edge"/>
          <c:x val="0.86708860759493667"/>
          <c:y val="0.39560439560439559"/>
          <c:w val="0.12025316455696203"/>
          <c:h val="0.21428571428571427"/>
        </c:manualLayout>
      </c:layout>
      <c:overlay val="0"/>
      <c:spPr>
        <a:noFill/>
        <a:ln w="3175">
          <a:solidFill>
            <a:srgbClr val="000000"/>
          </a:solidFill>
          <a:prstDash val="solid"/>
        </a:ln>
      </c:spPr>
      <c:txPr>
        <a:bodyPr/>
        <a:lstStyle/>
        <a:p>
          <a:pPr>
            <a:defRPr sz="735" b="1" i="0" u="none" strike="noStrike" baseline="0">
              <a:solidFill>
                <a:srgbClr val="000000"/>
              </a:solidFill>
              <a:latin typeface="Arial"/>
              <a:ea typeface="Arial"/>
              <a:cs typeface="Arial"/>
            </a:defRPr>
          </a:pPr>
          <a:endParaRPr lang="da-DK"/>
        </a:p>
      </c:txPr>
    </c:legend>
    <c:plotVisOnly val="1"/>
    <c:dispBlanksAs val="zero"/>
    <c:showDLblsOverMax val="0"/>
  </c:chart>
  <c:spPr>
    <a:noFill/>
    <a:ln>
      <a:noFill/>
    </a:ln>
  </c:spPr>
  <c:txPr>
    <a:bodyPr/>
    <a:lstStyle/>
    <a:p>
      <a:pPr>
        <a:defRPr sz="800" b="1" i="0" u="none" strike="noStrike" baseline="0">
          <a:solidFill>
            <a:srgbClr val="000000"/>
          </a:solidFill>
          <a:latin typeface="Arial"/>
          <a:ea typeface="Arial"/>
          <a:cs typeface="Arial"/>
        </a:defRPr>
      </a:pPr>
      <a:endParaRPr lang="da-DK"/>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341772151898735"/>
          <c:y val="0.11538461538461539"/>
          <c:w val="0.44936708860759494"/>
          <c:h val="0.78021978021978022"/>
        </c:manualLayout>
      </c:layout>
      <c:pieChart>
        <c:varyColors val="1"/>
        <c:ser>
          <c:idx val="0"/>
          <c:order val="0"/>
          <c:tx>
            <c:strRef>
              <c:f>Sheet1!$A$2</c:f>
              <c:strCache>
                <c:ptCount val="1"/>
              </c:strCache>
            </c:strRef>
          </c:tx>
          <c:spPr>
            <a:solidFill>
              <a:srgbClr val="9999FF"/>
            </a:solidFill>
            <a:ln w="12700">
              <a:solidFill>
                <a:srgbClr val="000000"/>
              </a:solidFill>
              <a:prstDash val="solid"/>
            </a:ln>
          </c:spPr>
          <c:dPt>
            <c:idx val="0"/>
            <c:bubble3D val="0"/>
          </c:dPt>
          <c:dPt>
            <c:idx val="1"/>
            <c:bubble3D val="0"/>
            <c:spPr>
              <a:solidFill>
                <a:srgbClr val="993366"/>
              </a:solidFill>
              <a:ln w="12700">
                <a:solidFill>
                  <a:srgbClr val="000000"/>
                </a:solidFill>
                <a:prstDash val="solid"/>
              </a:ln>
            </c:spPr>
          </c:dPt>
          <c:cat>
            <c:strRef>
              <c:f>Sheet1!$B$1:$C$1</c:f>
              <c:strCache>
                <c:ptCount val="2"/>
                <c:pt idx="0">
                  <c:v>Important</c:v>
                </c:pt>
                <c:pt idx="1">
                  <c:v>Not important</c:v>
                </c:pt>
              </c:strCache>
            </c:strRef>
          </c:cat>
          <c:val>
            <c:numRef>
              <c:f>Sheet1!$B$2:$C$2</c:f>
              <c:numCache>
                <c:formatCode>General</c:formatCode>
                <c:ptCount val="2"/>
                <c:pt idx="0">
                  <c:v>64</c:v>
                </c:pt>
                <c:pt idx="1">
                  <c:v>2</c:v>
                </c:pt>
              </c:numCache>
            </c:numRef>
          </c:val>
        </c:ser>
        <c:dLbls>
          <c:showLegendKey val="0"/>
          <c:showVal val="0"/>
          <c:showCatName val="0"/>
          <c:showSerName val="0"/>
          <c:showPercent val="0"/>
          <c:showBubbleSize val="0"/>
          <c:showLeaderLines val="1"/>
        </c:dLbls>
        <c:firstSliceAng val="0"/>
      </c:pieChart>
      <c:spPr>
        <a:solidFill>
          <a:srgbClr val="C0C0C0"/>
        </a:solidFill>
        <a:ln w="12700">
          <a:solidFill>
            <a:srgbClr val="808080"/>
          </a:solidFill>
          <a:prstDash val="solid"/>
        </a:ln>
      </c:spPr>
    </c:plotArea>
    <c:legend>
      <c:legendPos val="r"/>
      <c:layout>
        <c:manualLayout>
          <c:xMode val="edge"/>
          <c:yMode val="edge"/>
          <c:x val="0.69303797468354433"/>
          <c:y val="0.39560439560439559"/>
          <c:w val="0.29430379746835444"/>
          <c:h val="0.21428571428571427"/>
        </c:manualLayout>
      </c:layout>
      <c:overlay val="0"/>
      <c:spPr>
        <a:noFill/>
        <a:ln w="3175">
          <a:solidFill>
            <a:srgbClr val="000000"/>
          </a:solidFill>
          <a:prstDash val="solid"/>
        </a:ln>
      </c:spPr>
      <c:txPr>
        <a:bodyPr/>
        <a:lstStyle/>
        <a:p>
          <a:pPr>
            <a:defRPr sz="735" b="1" i="0" u="none" strike="noStrike" baseline="0">
              <a:solidFill>
                <a:srgbClr val="000000"/>
              </a:solidFill>
              <a:latin typeface="Arial"/>
              <a:ea typeface="Arial"/>
              <a:cs typeface="Arial"/>
            </a:defRPr>
          </a:pPr>
          <a:endParaRPr lang="da-DK"/>
        </a:p>
      </c:txPr>
    </c:legend>
    <c:plotVisOnly val="1"/>
    <c:dispBlanksAs val="zero"/>
    <c:showDLblsOverMax val="0"/>
  </c:chart>
  <c:spPr>
    <a:noFill/>
    <a:ln>
      <a:noFill/>
    </a:ln>
  </c:spPr>
  <c:txPr>
    <a:bodyPr/>
    <a:lstStyle/>
    <a:p>
      <a:pPr>
        <a:defRPr sz="800" b="1" i="0" u="none" strike="noStrike" baseline="0">
          <a:solidFill>
            <a:srgbClr val="000000"/>
          </a:solidFill>
          <a:latin typeface="Arial"/>
          <a:ea typeface="Arial"/>
          <a:cs typeface="Arial"/>
        </a:defRPr>
      </a:pPr>
      <a:endParaRPr lang="da-DK"/>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443037974683544"/>
          <c:y val="0.11538461538461539"/>
          <c:w val="0.86708860759493667"/>
          <c:h val="0.52197802197802201"/>
        </c:manualLayout>
      </c:layout>
      <c:barChart>
        <c:barDir val="col"/>
        <c:grouping val="clustered"/>
        <c:varyColors val="0"/>
        <c:ser>
          <c:idx val="0"/>
          <c:order val="0"/>
          <c:tx>
            <c:strRef>
              <c:f>Sheet1!$A$2</c:f>
              <c:strCache>
                <c:ptCount val="1"/>
              </c:strCache>
            </c:strRef>
          </c:tx>
          <c:spPr>
            <a:solidFill>
              <a:srgbClr val="9999FF"/>
            </a:solidFill>
            <a:ln w="12675">
              <a:solidFill>
                <a:srgbClr val="000000"/>
              </a:solidFill>
              <a:prstDash val="solid"/>
            </a:ln>
          </c:spPr>
          <c:invertIfNegative val="0"/>
          <c:cat>
            <c:strRef>
              <c:f>Sheet1!$B$1:$D$1</c:f>
              <c:strCache>
                <c:ptCount val="3"/>
                <c:pt idx="0">
                  <c:v>Stability important</c:v>
                </c:pt>
                <c:pt idx="1">
                  <c:v>Updates in a 2 year cycle </c:v>
                </c:pt>
                <c:pt idx="2">
                  <c:v>Improvements as soon as possible</c:v>
                </c:pt>
              </c:strCache>
            </c:strRef>
          </c:cat>
          <c:val>
            <c:numRef>
              <c:f>Sheet1!$B$2:$D$2</c:f>
              <c:numCache>
                <c:formatCode>General</c:formatCode>
                <c:ptCount val="3"/>
                <c:pt idx="0">
                  <c:v>63</c:v>
                </c:pt>
                <c:pt idx="1">
                  <c:v>13</c:v>
                </c:pt>
                <c:pt idx="2">
                  <c:v>11</c:v>
                </c:pt>
              </c:numCache>
            </c:numRef>
          </c:val>
        </c:ser>
        <c:dLbls>
          <c:showLegendKey val="0"/>
          <c:showVal val="0"/>
          <c:showCatName val="0"/>
          <c:showSerName val="0"/>
          <c:showPercent val="0"/>
          <c:showBubbleSize val="0"/>
        </c:dLbls>
        <c:gapWidth val="150"/>
        <c:axId val="304752896"/>
        <c:axId val="304758784"/>
      </c:barChart>
      <c:catAx>
        <c:axId val="304752896"/>
        <c:scaling>
          <c:orientation val="minMax"/>
        </c:scaling>
        <c:delete val="0"/>
        <c:axPos val="b"/>
        <c:numFmt formatCode="General" sourceLinked="1"/>
        <c:majorTickMark val="out"/>
        <c:minorTickMark val="none"/>
        <c:tickLblPos val="nextTo"/>
        <c:spPr>
          <a:ln w="3169">
            <a:solidFill>
              <a:srgbClr val="000000"/>
            </a:solidFill>
            <a:prstDash val="solid"/>
          </a:ln>
        </c:spPr>
        <c:txPr>
          <a:bodyPr rot="0" vert="horz"/>
          <a:lstStyle/>
          <a:p>
            <a:pPr>
              <a:defRPr sz="798" b="1" i="0" u="none" strike="noStrike" baseline="0">
                <a:solidFill>
                  <a:srgbClr val="000000"/>
                </a:solidFill>
                <a:latin typeface="Arial"/>
                <a:ea typeface="Arial"/>
                <a:cs typeface="Arial"/>
              </a:defRPr>
            </a:pPr>
            <a:endParaRPr lang="da-DK"/>
          </a:p>
        </c:txPr>
        <c:crossAx val="304758784"/>
        <c:crosses val="autoZero"/>
        <c:auto val="1"/>
        <c:lblAlgn val="ctr"/>
        <c:lblOffset val="100"/>
        <c:tickLblSkip val="1"/>
        <c:tickMarkSkip val="1"/>
        <c:noMultiLvlLbl val="0"/>
      </c:catAx>
      <c:valAx>
        <c:axId val="304758784"/>
        <c:scaling>
          <c:orientation val="minMax"/>
        </c:scaling>
        <c:delete val="0"/>
        <c:axPos val="l"/>
        <c:numFmt formatCode="General" sourceLinked="1"/>
        <c:majorTickMark val="out"/>
        <c:minorTickMark val="none"/>
        <c:tickLblPos val="nextTo"/>
        <c:spPr>
          <a:ln w="3169">
            <a:solidFill>
              <a:srgbClr val="000000"/>
            </a:solidFill>
            <a:prstDash val="solid"/>
          </a:ln>
        </c:spPr>
        <c:txPr>
          <a:bodyPr rot="0" vert="horz"/>
          <a:lstStyle/>
          <a:p>
            <a:pPr>
              <a:defRPr sz="798" b="1" i="0" u="none" strike="noStrike" baseline="0">
                <a:solidFill>
                  <a:srgbClr val="000000"/>
                </a:solidFill>
                <a:latin typeface="Arial"/>
                <a:ea typeface="Arial"/>
                <a:cs typeface="Arial"/>
              </a:defRPr>
            </a:pPr>
            <a:endParaRPr lang="da-DK"/>
          </a:p>
        </c:txPr>
        <c:crossAx val="304752896"/>
        <c:crosses val="autoZero"/>
        <c:crossBetween val="between"/>
      </c:valAx>
      <c:spPr>
        <a:solidFill>
          <a:srgbClr val="C0C0C0"/>
        </a:solidFill>
        <a:ln w="12675">
          <a:solidFill>
            <a:srgbClr val="808080"/>
          </a:solidFill>
          <a:prstDash val="solid"/>
        </a:ln>
      </c:spPr>
    </c:plotArea>
    <c:plotVisOnly val="1"/>
    <c:dispBlanksAs val="gap"/>
    <c:showDLblsOverMax val="0"/>
  </c:chart>
  <c:spPr>
    <a:noFill/>
    <a:ln>
      <a:noFill/>
    </a:ln>
  </c:spPr>
  <c:txPr>
    <a:bodyPr/>
    <a:lstStyle/>
    <a:p>
      <a:pPr>
        <a:defRPr sz="798" b="1" i="0" u="none" strike="noStrike" baseline="0">
          <a:solidFill>
            <a:srgbClr val="000000"/>
          </a:solidFill>
          <a:latin typeface="Arial"/>
          <a:ea typeface="Arial"/>
          <a:cs typeface="Arial"/>
        </a:defRPr>
      </a:pPr>
      <a:endParaRPr lang="da-DK"/>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658227848101267"/>
          <c:y val="0.11538461538461539"/>
          <c:w val="0.44936708860759494"/>
          <c:h val="0.78021978021978022"/>
        </c:manualLayout>
      </c:layout>
      <c:pieChart>
        <c:varyColors val="1"/>
        <c:ser>
          <c:idx val="0"/>
          <c:order val="0"/>
          <c:tx>
            <c:strRef>
              <c:f>Sheet1!$A$2</c:f>
              <c:strCache>
                <c:ptCount val="1"/>
              </c:strCache>
            </c:strRef>
          </c:tx>
          <c:spPr>
            <a:solidFill>
              <a:srgbClr val="9999FF"/>
            </a:solidFill>
            <a:ln w="12675">
              <a:solidFill>
                <a:srgbClr val="000000"/>
              </a:solidFill>
              <a:prstDash val="solid"/>
            </a:ln>
          </c:spPr>
          <c:dPt>
            <c:idx val="0"/>
            <c:bubble3D val="0"/>
          </c:dPt>
          <c:dPt>
            <c:idx val="1"/>
            <c:bubble3D val="0"/>
            <c:spPr>
              <a:solidFill>
                <a:srgbClr val="993366"/>
              </a:solidFill>
              <a:ln w="12675">
                <a:solidFill>
                  <a:srgbClr val="000000"/>
                </a:solidFill>
                <a:prstDash val="solid"/>
              </a:ln>
            </c:spPr>
          </c:dPt>
          <c:dPt>
            <c:idx val="2"/>
            <c:bubble3D val="0"/>
            <c:spPr>
              <a:solidFill>
                <a:srgbClr val="FFFFCC"/>
              </a:solidFill>
              <a:ln w="12675">
                <a:solidFill>
                  <a:srgbClr val="000000"/>
                </a:solidFill>
                <a:prstDash val="solid"/>
              </a:ln>
            </c:spPr>
          </c:dPt>
          <c:cat>
            <c:strRef>
              <c:f>Sheet1!$B$1:$D$1</c:f>
              <c:strCache>
                <c:ptCount val="3"/>
                <c:pt idx="0">
                  <c:v>Leave as it is</c:v>
                </c:pt>
                <c:pt idx="1">
                  <c:v>Increase options</c:v>
                </c:pt>
                <c:pt idx="2">
                  <c:v>Decrease options</c:v>
                </c:pt>
              </c:strCache>
            </c:strRef>
          </c:cat>
          <c:val>
            <c:numRef>
              <c:f>Sheet1!$B$2:$D$2</c:f>
              <c:numCache>
                <c:formatCode>General</c:formatCode>
                <c:ptCount val="3"/>
                <c:pt idx="0">
                  <c:v>50</c:v>
                </c:pt>
                <c:pt idx="1">
                  <c:v>13</c:v>
                </c:pt>
                <c:pt idx="2">
                  <c:v>13</c:v>
                </c:pt>
              </c:numCache>
            </c:numRef>
          </c:val>
        </c:ser>
        <c:dLbls>
          <c:showLegendKey val="0"/>
          <c:showVal val="0"/>
          <c:showCatName val="0"/>
          <c:showSerName val="0"/>
          <c:showPercent val="0"/>
          <c:showBubbleSize val="0"/>
          <c:showLeaderLines val="1"/>
        </c:dLbls>
        <c:firstSliceAng val="0"/>
      </c:pieChart>
      <c:spPr>
        <a:solidFill>
          <a:srgbClr val="C0C0C0"/>
        </a:solidFill>
        <a:ln w="12675">
          <a:solidFill>
            <a:srgbClr val="808080"/>
          </a:solidFill>
          <a:prstDash val="solid"/>
        </a:ln>
      </c:spPr>
    </c:plotArea>
    <c:legend>
      <c:legendPos val="r"/>
      <c:layout>
        <c:manualLayout>
          <c:xMode val="edge"/>
          <c:yMode val="edge"/>
          <c:x val="0.70253164556962022"/>
          <c:y val="0.22527472527472528"/>
          <c:w val="0.2848101265822785"/>
          <c:h val="0.5494505494505495"/>
        </c:manualLayout>
      </c:layout>
      <c:overlay val="0"/>
      <c:spPr>
        <a:noFill/>
        <a:ln w="3169">
          <a:solidFill>
            <a:srgbClr val="000000"/>
          </a:solidFill>
          <a:prstDash val="solid"/>
        </a:ln>
      </c:spPr>
      <c:txPr>
        <a:bodyPr/>
        <a:lstStyle/>
        <a:p>
          <a:pPr>
            <a:defRPr sz="734" b="1" i="0" u="none" strike="noStrike" baseline="0">
              <a:solidFill>
                <a:srgbClr val="000000"/>
              </a:solidFill>
              <a:latin typeface="Arial"/>
              <a:ea typeface="Arial"/>
              <a:cs typeface="Arial"/>
            </a:defRPr>
          </a:pPr>
          <a:endParaRPr lang="da-DK"/>
        </a:p>
      </c:txPr>
    </c:legend>
    <c:plotVisOnly val="1"/>
    <c:dispBlanksAs val="zero"/>
    <c:showDLblsOverMax val="0"/>
  </c:chart>
  <c:spPr>
    <a:noFill/>
    <a:ln>
      <a:noFill/>
    </a:ln>
  </c:spPr>
  <c:txPr>
    <a:bodyPr/>
    <a:lstStyle/>
    <a:p>
      <a:pPr>
        <a:defRPr sz="798" b="1" i="0" u="none" strike="noStrike" baseline="0">
          <a:solidFill>
            <a:srgbClr val="000000"/>
          </a:solidFill>
          <a:latin typeface="Arial"/>
          <a:ea typeface="Arial"/>
          <a:cs typeface="Arial"/>
        </a:defRPr>
      </a:pPr>
      <a:endParaRPr lang="da-DK"/>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0886075949367089"/>
          <c:y val="0.11538461538461539"/>
          <c:w val="0.44936708860759494"/>
          <c:h val="0.78021978021978022"/>
        </c:manualLayout>
      </c:layout>
      <c:pieChart>
        <c:varyColors val="1"/>
        <c:ser>
          <c:idx val="0"/>
          <c:order val="0"/>
          <c:tx>
            <c:strRef>
              <c:f>Sheet1!$A$2</c:f>
              <c:strCache>
                <c:ptCount val="1"/>
              </c:strCache>
            </c:strRef>
          </c:tx>
          <c:spPr>
            <a:solidFill>
              <a:srgbClr val="9999FF"/>
            </a:solidFill>
            <a:ln w="12675">
              <a:solidFill>
                <a:srgbClr val="000000"/>
              </a:solidFill>
              <a:prstDash val="solid"/>
            </a:ln>
          </c:spPr>
          <c:dPt>
            <c:idx val="0"/>
            <c:bubble3D val="0"/>
          </c:dPt>
          <c:dPt>
            <c:idx val="1"/>
            <c:bubble3D val="0"/>
            <c:spPr>
              <a:solidFill>
                <a:srgbClr val="993366"/>
              </a:solidFill>
              <a:ln w="12675">
                <a:solidFill>
                  <a:srgbClr val="000000"/>
                </a:solidFill>
                <a:prstDash val="solid"/>
              </a:ln>
            </c:spPr>
          </c:dPt>
          <c:cat>
            <c:strRef>
              <c:f>Sheet1!$B$1:$C$1</c:f>
              <c:strCache>
                <c:ptCount val="2"/>
                <c:pt idx="0">
                  <c:v>Yes</c:v>
                </c:pt>
                <c:pt idx="1">
                  <c:v>No</c:v>
                </c:pt>
              </c:strCache>
            </c:strRef>
          </c:cat>
          <c:val>
            <c:numRef>
              <c:f>Sheet1!$B$2:$C$2</c:f>
              <c:numCache>
                <c:formatCode>General</c:formatCode>
                <c:ptCount val="2"/>
                <c:pt idx="0">
                  <c:v>20</c:v>
                </c:pt>
                <c:pt idx="1">
                  <c:v>40</c:v>
                </c:pt>
              </c:numCache>
            </c:numRef>
          </c:val>
        </c:ser>
        <c:dLbls>
          <c:showLegendKey val="0"/>
          <c:showVal val="0"/>
          <c:showCatName val="0"/>
          <c:showSerName val="0"/>
          <c:showPercent val="0"/>
          <c:showBubbleSize val="0"/>
          <c:showLeaderLines val="1"/>
        </c:dLbls>
        <c:firstSliceAng val="0"/>
      </c:pieChart>
      <c:spPr>
        <a:solidFill>
          <a:srgbClr val="C0C0C0"/>
        </a:solidFill>
        <a:ln w="12675">
          <a:solidFill>
            <a:srgbClr val="808080"/>
          </a:solidFill>
          <a:prstDash val="solid"/>
        </a:ln>
      </c:spPr>
    </c:plotArea>
    <c:legend>
      <c:legendPos val="r"/>
      <c:layout>
        <c:manualLayout>
          <c:xMode val="edge"/>
          <c:yMode val="edge"/>
          <c:x val="0.86392405063291144"/>
          <c:y val="0.39560439560439559"/>
          <c:w val="0.12341772151898735"/>
          <c:h val="0.21428571428571427"/>
        </c:manualLayout>
      </c:layout>
      <c:overlay val="0"/>
      <c:spPr>
        <a:noFill/>
        <a:ln w="3169">
          <a:solidFill>
            <a:srgbClr val="000000"/>
          </a:solidFill>
          <a:prstDash val="solid"/>
        </a:ln>
      </c:spPr>
      <c:txPr>
        <a:bodyPr/>
        <a:lstStyle/>
        <a:p>
          <a:pPr>
            <a:defRPr sz="734" b="1" i="0" u="none" strike="noStrike" baseline="0">
              <a:solidFill>
                <a:srgbClr val="000000"/>
              </a:solidFill>
              <a:latin typeface="Arial"/>
              <a:ea typeface="Arial"/>
              <a:cs typeface="Arial"/>
            </a:defRPr>
          </a:pPr>
          <a:endParaRPr lang="da-DK"/>
        </a:p>
      </c:txPr>
    </c:legend>
    <c:plotVisOnly val="1"/>
    <c:dispBlanksAs val="zero"/>
    <c:showDLblsOverMax val="0"/>
  </c:chart>
  <c:spPr>
    <a:noFill/>
    <a:ln>
      <a:noFill/>
    </a:ln>
  </c:spPr>
  <c:txPr>
    <a:bodyPr/>
    <a:lstStyle/>
    <a:p>
      <a:pPr>
        <a:defRPr sz="798" b="1" i="0" u="none" strike="noStrike" baseline="0">
          <a:solidFill>
            <a:srgbClr val="000000"/>
          </a:solidFill>
          <a:latin typeface="Arial"/>
          <a:ea typeface="Arial"/>
          <a:cs typeface="Arial"/>
        </a:defRPr>
      </a:pPr>
      <a:endParaRPr lang="da-DK"/>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0886075949367089"/>
          <c:y val="0.11538461538461539"/>
          <c:w val="0.44936708860759494"/>
          <c:h val="0.78021978021978022"/>
        </c:manualLayout>
      </c:layout>
      <c:pieChart>
        <c:varyColors val="1"/>
        <c:ser>
          <c:idx val="0"/>
          <c:order val="0"/>
          <c:tx>
            <c:strRef>
              <c:f>Sheet1!$A$2</c:f>
              <c:strCache>
                <c:ptCount val="1"/>
              </c:strCache>
            </c:strRef>
          </c:tx>
          <c:spPr>
            <a:solidFill>
              <a:srgbClr val="9999FF"/>
            </a:solidFill>
            <a:ln w="12675">
              <a:solidFill>
                <a:srgbClr val="000000"/>
              </a:solidFill>
              <a:prstDash val="solid"/>
            </a:ln>
          </c:spPr>
          <c:dPt>
            <c:idx val="0"/>
            <c:bubble3D val="0"/>
          </c:dPt>
          <c:dPt>
            <c:idx val="1"/>
            <c:bubble3D val="0"/>
            <c:spPr>
              <a:solidFill>
                <a:srgbClr val="993366"/>
              </a:solidFill>
              <a:ln w="12675">
                <a:solidFill>
                  <a:srgbClr val="000000"/>
                </a:solidFill>
                <a:prstDash val="solid"/>
              </a:ln>
            </c:spPr>
          </c:dPt>
          <c:cat>
            <c:strRef>
              <c:f>Sheet1!$B$1:$C$1</c:f>
              <c:strCache>
                <c:ptCount val="2"/>
                <c:pt idx="0">
                  <c:v>Yes</c:v>
                </c:pt>
                <c:pt idx="1">
                  <c:v>No</c:v>
                </c:pt>
              </c:strCache>
            </c:strRef>
          </c:cat>
          <c:val>
            <c:numRef>
              <c:f>Sheet1!$B$2:$C$2</c:f>
              <c:numCache>
                <c:formatCode>General</c:formatCode>
                <c:ptCount val="2"/>
                <c:pt idx="0">
                  <c:v>42</c:v>
                </c:pt>
                <c:pt idx="1">
                  <c:v>11</c:v>
                </c:pt>
              </c:numCache>
            </c:numRef>
          </c:val>
        </c:ser>
        <c:dLbls>
          <c:showLegendKey val="0"/>
          <c:showVal val="0"/>
          <c:showCatName val="0"/>
          <c:showSerName val="0"/>
          <c:showPercent val="0"/>
          <c:showBubbleSize val="0"/>
          <c:showLeaderLines val="1"/>
        </c:dLbls>
        <c:firstSliceAng val="0"/>
      </c:pieChart>
      <c:spPr>
        <a:solidFill>
          <a:srgbClr val="C0C0C0"/>
        </a:solidFill>
        <a:ln w="12675">
          <a:solidFill>
            <a:srgbClr val="808080"/>
          </a:solidFill>
          <a:prstDash val="solid"/>
        </a:ln>
      </c:spPr>
    </c:plotArea>
    <c:legend>
      <c:legendPos val="r"/>
      <c:layout>
        <c:manualLayout>
          <c:xMode val="edge"/>
          <c:yMode val="edge"/>
          <c:x val="0.86392405063291144"/>
          <c:y val="0.39560439560439559"/>
          <c:w val="0.12341772151898735"/>
          <c:h val="0.21428571428571427"/>
        </c:manualLayout>
      </c:layout>
      <c:overlay val="0"/>
      <c:spPr>
        <a:noFill/>
        <a:ln w="3169">
          <a:solidFill>
            <a:srgbClr val="000000"/>
          </a:solidFill>
          <a:prstDash val="solid"/>
        </a:ln>
      </c:spPr>
      <c:txPr>
        <a:bodyPr/>
        <a:lstStyle/>
        <a:p>
          <a:pPr>
            <a:defRPr sz="734" b="1" i="0" u="none" strike="noStrike" baseline="0">
              <a:solidFill>
                <a:srgbClr val="000000"/>
              </a:solidFill>
              <a:latin typeface="Arial"/>
              <a:ea typeface="Arial"/>
              <a:cs typeface="Arial"/>
            </a:defRPr>
          </a:pPr>
          <a:endParaRPr lang="da-DK"/>
        </a:p>
      </c:txPr>
    </c:legend>
    <c:plotVisOnly val="1"/>
    <c:dispBlanksAs val="zero"/>
    <c:showDLblsOverMax val="0"/>
  </c:chart>
  <c:spPr>
    <a:noFill/>
    <a:ln>
      <a:noFill/>
    </a:ln>
  </c:spPr>
  <c:txPr>
    <a:bodyPr/>
    <a:lstStyle/>
    <a:p>
      <a:pPr>
        <a:defRPr sz="798" b="1" i="0" u="none" strike="noStrike" baseline="0">
          <a:solidFill>
            <a:srgbClr val="000000"/>
          </a:solidFill>
          <a:latin typeface="Arial"/>
          <a:ea typeface="Arial"/>
          <a:cs typeface="Arial"/>
        </a:defRPr>
      </a:pPr>
      <a:endParaRPr lang="da-DK"/>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057692307692307"/>
          <c:y val="0.10222222222222223"/>
          <c:w val="0.43509615384615385"/>
          <c:h val="0.80444444444444441"/>
        </c:manualLayout>
      </c:layout>
      <c:pieChart>
        <c:varyColors val="1"/>
        <c:ser>
          <c:idx val="0"/>
          <c:order val="0"/>
          <c:tx>
            <c:strRef>
              <c:f>Sheet1!$A$2</c:f>
              <c:strCache>
                <c:ptCount val="1"/>
              </c:strCache>
            </c:strRef>
          </c:tx>
          <c:spPr>
            <a:solidFill>
              <a:srgbClr val="9999FF"/>
            </a:solidFill>
            <a:ln w="12680">
              <a:solidFill>
                <a:srgbClr val="000000"/>
              </a:solidFill>
              <a:prstDash val="solid"/>
            </a:ln>
          </c:spPr>
          <c:dPt>
            <c:idx val="0"/>
            <c:bubble3D val="0"/>
          </c:dPt>
          <c:dPt>
            <c:idx val="1"/>
            <c:bubble3D val="0"/>
            <c:spPr>
              <a:solidFill>
                <a:srgbClr val="993366"/>
              </a:solidFill>
              <a:ln w="12680">
                <a:solidFill>
                  <a:srgbClr val="000000"/>
                </a:solidFill>
                <a:prstDash val="solid"/>
              </a:ln>
            </c:spPr>
          </c:dPt>
          <c:dPt>
            <c:idx val="2"/>
            <c:bubble3D val="0"/>
            <c:spPr>
              <a:solidFill>
                <a:srgbClr val="FFFFCC"/>
              </a:solidFill>
              <a:ln w="12680">
                <a:solidFill>
                  <a:srgbClr val="000000"/>
                </a:solidFill>
                <a:prstDash val="solid"/>
              </a:ln>
            </c:spPr>
          </c:dPt>
          <c:cat>
            <c:strRef>
              <c:f>Sheet1!$B$1:$D$1</c:f>
              <c:strCache>
                <c:ptCount val="3"/>
                <c:pt idx="0">
                  <c:v>YES - Special treatment is justified</c:v>
                </c:pt>
                <c:pt idx="1">
                  <c:v>NO- they should be protected by licensing, if they require protection</c:v>
                </c:pt>
                <c:pt idx="2">
                  <c:v>No- they should protect themselves by technical means</c:v>
                </c:pt>
              </c:strCache>
            </c:strRef>
          </c:cat>
          <c:val>
            <c:numRef>
              <c:f>Sheet1!$B$2:$D$2</c:f>
              <c:numCache>
                <c:formatCode>General</c:formatCode>
                <c:ptCount val="3"/>
                <c:pt idx="0">
                  <c:v>42</c:v>
                </c:pt>
                <c:pt idx="1">
                  <c:v>13</c:v>
                </c:pt>
                <c:pt idx="2">
                  <c:v>10</c:v>
                </c:pt>
              </c:numCache>
            </c:numRef>
          </c:val>
        </c:ser>
        <c:dLbls>
          <c:showLegendKey val="0"/>
          <c:showVal val="0"/>
          <c:showCatName val="0"/>
          <c:showSerName val="0"/>
          <c:showPercent val="0"/>
          <c:showBubbleSize val="0"/>
          <c:showLeaderLines val="1"/>
        </c:dLbls>
        <c:firstSliceAng val="0"/>
      </c:pieChart>
      <c:spPr>
        <a:solidFill>
          <a:srgbClr val="C0C0C0"/>
        </a:solidFill>
        <a:ln w="12680">
          <a:solidFill>
            <a:srgbClr val="808080"/>
          </a:solidFill>
          <a:prstDash val="solid"/>
        </a:ln>
      </c:spPr>
    </c:plotArea>
    <c:legend>
      <c:legendPos val="r"/>
      <c:layout>
        <c:manualLayout>
          <c:xMode val="edge"/>
          <c:yMode val="edge"/>
          <c:x val="0.65384615384615385"/>
          <c:y val="3.5555555555555556E-2"/>
          <c:w val="0.33653846153846156"/>
          <c:h val="0.9244444444444444"/>
        </c:manualLayout>
      </c:layout>
      <c:overlay val="0"/>
      <c:spPr>
        <a:noFill/>
        <a:ln w="3170">
          <a:solidFill>
            <a:srgbClr val="000000"/>
          </a:solidFill>
          <a:prstDash val="solid"/>
        </a:ln>
      </c:spPr>
      <c:txPr>
        <a:bodyPr/>
        <a:lstStyle/>
        <a:p>
          <a:pPr>
            <a:defRPr sz="919" b="1" i="0" u="none" strike="noStrike" baseline="0">
              <a:solidFill>
                <a:srgbClr val="000000"/>
              </a:solidFill>
              <a:latin typeface="Arial"/>
              <a:ea typeface="Arial"/>
              <a:cs typeface="Arial"/>
            </a:defRPr>
          </a:pPr>
          <a:endParaRPr lang="da-DK"/>
        </a:p>
      </c:txPr>
    </c:legend>
    <c:plotVisOnly val="1"/>
    <c:dispBlanksAs val="zero"/>
    <c:showDLblsOverMax val="0"/>
  </c:chart>
  <c:spPr>
    <a:noFill/>
    <a:ln>
      <a:noFill/>
    </a:ln>
  </c:spPr>
  <c:txPr>
    <a:bodyPr/>
    <a:lstStyle/>
    <a:p>
      <a:pPr>
        <a:defRPr sz="998" b="1" i="0" u="none" strike="noStrike" baseline="0">
          <a:solidFill>
            <a:srgbClr val="000000"/>
          </a:solidFill>
          <a:latin typeface="Arial"/>
          <a:ea typeface="Arial"/>
          <a:cs typeface="Arial"/>
        </a:defRPr>
      </a:pPr>
      <a:endParaRPr lang="da-DK"/>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1583514099783085E-2"/>
          <c:y val="0.11538461538461539"/>
          <c:w val="0.85900216919739691"/>
          <c:h val="0.43956043956043955"/>
        </c:manualLayout>
      </c:layout>
      <c:barChart>
        <c:barDir val="col"/>
        <c:grouping val="clustered"/>
        <c:varyColors val="0"/>
        <c:ser>
          <c:idx val="0"/>
          <c:order val="0"/>
          <c:tx>
            <c:strRef>
              <c:f>Sheet1!$A$2</c:f>
              <c:strCache>
                <c:ptCount val="1"/>
              </c:strCache>
            </c:strRef>
          </c:tx>
          <c:spPr>
            <a:solidFill>
              <a:srgbClr val="9999FF"/>
            </a:solidFill>
            <a:ln w="12691">
              <a:solidFill>
                <a:srgbClr val="000000"/>
              </a:solidFill>
              <a:prstDash val="solid"/>
            </a:ln>
          </c:spPr>
          <c:invertIfNegative val="0"/>
          <c:cat>
            <c:strRef>
              <c:f>Sheet1!$B$1:$E$1</c:f>
              <c:strCache>
                <c:ptCount val="4"/>
                <c:pt idx="0">
                  <c:v>By means of spectrum management</c:v>
                </c:pt>
                <c:pt idx="1">
                  <c:v>By means of enhanced standards</c:v>
                </c:pt>
                <c:pt idx="2">
                  <c:v>It is the responsibility of the manufacturer</c:v>
                </c:pt>
                <c:pt idx="3">
                  <c:v>By educating the end user</c:v>
                </c:pt>
              </c:strCache>
            </c:strRef>
          </c:cat>
          <c:val>
            <c:numRef>
              <c:f>Sheet1!$B$2:$E$2</c:f>
              <c:numCache>
                <c:formatCode>General</c:formatCode>
                <c:ptCount val="4"/>
                <c:pt idx="0">
                  <c:v>46</c:v>
                </c:pt>
                <c:pt idx="1">
                  <c:v>18</c:v>
                </c:pt>
                <c:pt idx="2">
                  <c:v>3</c:v>
                </c:pt>
                <c:pt idx="3">
                  <c:v>3</c:v>
                </c:pt>
              </c:numCache>
            </c:numRef>
          </c:val>
        </c:ser>
        <c:dLbls>
          <c:showLegendKey val="0"/>
          <c:showVal val="0"/>
          <c:showCatName val="0"/>
          <c:showSerName val="0"/>
          <c:showPercent val="0"/>
          <c:showBubbleSize val="0"/>
        </c:dLbls>
        <c:gapWidth val="150"/>
        <c:axId val="303909120"/>
        <c:axId val="304807936"/>
      </c:barChart>
      <c:catAx>
        <c:axId val="303909120"/>
        <c:scaling>
          <c:orientation val="minMax"/>
        </c:scaling>
        <c:delete val="0"/>
        <c:axPos val="b"/>
        <c:numFmt formatCode="General" sourceLinked="1"/>
        <c:majorTickMark val="out"/>
        <c:minorTickMark val="none"/>
        <c:tickLblPos val="nextTo"/>
        <c:spPr>
          <a:ln w="3173">
            <a:solidFill>
              <a:srgbClr val="000000"/>
            </a:solidFill>
            <a:prstDash val="solid"/>
          </a:ln>
        </c:spPr>
        <c:txPr>
          <a:bodyPr rot="0" vert="horz"/>
          <a:lstStyle/>
          <a:p>
            <a:pPr>
              <a:defRPr sz="799" b="1" i="0" u="none" strike="noStrike" baseline="0">
                <a:solidFill>
                  <a:srgbClr val="000000"/>
                </a:solidFill>
                <a:latin typeface="Arial"/>
                <a:ea typeface="Arial"/>
                <a:cs typeface="Arial"/>
              </a:defRPr>
            </a:pPr>
            <a:endParaRPr lang="da-DK"/>
          </a:p>
        </c:txPr>
        <c:crossAx val="304807936"/>
        <c:crosses val="autoZero"/>
        <c:auto val="1"/>
        <c:lblAlgn val="ctr"/>
        <c:lblOffset val="100"/>
        <c:tickLblSkip val="1"/>
        <c:tickMarkSkip val="1"/>
        <c:noMultiLvlLbl val="0"/>
      </c:catAx>
      <c:valAx>
        <c:axId val="304807936"/>
        <c:scaling>
          <c:orientation val="minMax"/>
        </c:scaling>
        <c:delete val="0"/>
        <c:axPos val="l"/>
        <c:numFmt formatCode="General" sourceLinked="1"/>
        <c:majorTickMark val="out"/>
        <c:minorTickMark val="none"/>
        <c:tickLblPos val="nextTo"/>
        <c:spPr>
          <a:ln w="3173">
            <a:solidFill>
              <a:srgbClr val="000000"/>
            </a:solidFill>
            <a:prstDash val="solid"/>
          </a:ln>
        </c:spPr>
        <c:txPr>
          <a:bodyPr rot="0" vert="horz"/>
          <a:lstStyle/>
          <a:p>
            <a:pPr>
              <a:defRPr sz="799" b="1" i="0" u="none" strike="noStrike" baseline="0">
                <a:solidFill>
                  <a:srgbClr val="000000"/>
                </a:solidFill>
                <a:latin typeface="Arial"/>
                <a:ea typeface="Arial"/>
                <a:cs typeface="Arial"/>
              </a:defRPr>
            </a:pPr>
            <a:endParaRPr lang="da-DK"/>
          </a:p>
        </c:txPr>
        <c:crossAx val="303909120"/>
        <c:crosses val="autoZero"/>
        <c:crossBetween val="between"/>
      </c:valAx>
      <c:spPr>
        <a:solidFill>
          <a:srgbClr val="C0C0C0"/>
        </a:solidFill>
        <a:ln w="12691">
          <a:solidFill>
            <a:srgbClr val="808080"/>
          </a:solidFill>
          <a:prstDash val="solid"/>
        </a:ln>
      </c:spPr>
    </c:plotArea>
    <c:legend>
      <c:legendPos val="r"/>
      <c:layout>
        <c:manualLayout>
          <c:xMode val="edge"/>
          <c:yMode val="edge"/>
          <c:x val="0.95227765726681124"/>
          <c:y val="0.28021978021978022"/>
          <c:w val="3.9045553145336226E-2"/>
          <c:h val="0.1043956043956044"/>
        </c:manualLayout>
      </c:layout>
      <c:overlay val="0"/>
      <c:spPr>
        <a:noFill/>
        <a:ln w="3173">
          <a:solidFill>
            <a:srgbClr val="000000"/>
          </a:solidFill>
          <a:prstDash val="solid"/>
        </a:ln>
      </c:spPr>
      <c:txPr>
        <a:bodyPr/>
        <a:lstStyle/>
        <a:p>
          <a:pPr>
            <a:defRPr sz="734" b="1" i="0" u="none" strike="noStrike" baseline="0">
              <a:solidFill>
                <a:srgbClr val="000000"/>
              </a:solidFill>
              <a:latin typeface="Arial"/>
              <a:ea typeface="Arial"/>
              <a:cs typeface="Arial"/>
            </a:defRPr>
          </a:pPr>
          <a:endParaRPr lang="da-DK"/>
        </a:p>
      </c:txPr>
    </c:legend>
    <c:plotVisOnly val="1"/>
    <c:dispBlanksAs val="gap"/>
    <c:showDLblsOverMax val="0"/>
  </c:chart>
  <c:spPr>
    <a:noFill/>
    <a:ln>
      <a:noFill/>
    </a:ln>
  </c:spPr>
  <c:txPr>
    <a:bodyPr/>
    <a:lstStyle/>
    <a:p>
      <a:pPr>
        <a:defRPr sz="799" b="1" i="0" u="none" strike="noStrike" baseline="0">
          <a:solidFill>
            <a:srgbClr val="000000"/>
          </a:solidFill>
          <a:latin typeface="Arial"/>
          <a:ea typeface="Arial"/>
          <a:cs typeface="Arial"/>
        </a:defRPr>
      </a:pPr>
      <a:endParaRPr lang="da-DK"/>
    </a:p>
  </c:tx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355769230769232"/>
          <c:y val="0.10222222222222223"/>
          <c:w val="0.43509615384615385"/>
          <c:h val="0.80444444444444441"/>
        </c:manualLayout>
      </c:layout>
      <c:pieChart>
        <c:varyColors val="1"/>
        <c:ser>
          <c:idx val="0"/>
          <c:order val="0"/>
          <c:tx>
            <c:strRef>
              <c:f>Sheet1!$A$2</c:f>
              <c:strCache>
                <c:ptCount val="1"/>
              </c:strCache>
            </c:strRef>
          </c:tx>
          <c:spPr>
            <a:solidFill>
              <a:srgbClr val="9999FF"/>
            </a:solidFill>
            <a:ln w="12680">
              <a:solidFill>
                <a:srgbClr val="000000"/>
              </a:solidFill>
              <a:prstDash val="solid"/>
            </a:ln>
          </c:spPr>
          <c:dPt>
            <c:idx val="0"/>
            <c:bubble3D val="0"/>
          </c:dPt>
          <c:dPt>
            <c:idx val="1"/>
            <c:bubble3D val="0"/>
            <c:spPr>
              <a:solidFill>
                <a:srgbClr val="993366"/>
              </a:solidFill>
              <a:ln w="12680">
                <a:solidFill>
                  <a:srgbClr val="000000"/>
                </a:solidFill>
                <a:prstDash val="solid"/>
              </a:ln>
            </c:spPr>
          </c:dPt>
          <c:cat>
            <c:strRef>
              <c:f>Sheet1!$B$1:$C$1</c:f>
              <c:strCache>
                <c:ptCount val="2"/>
                <c:pt idx="0">
                  <c:v>YES</c:v>
                </c:pt>
                <c:pt idx="1">
                  <c:v>NO</c:v>
                </c:pt>
              </c:strCache>
            </c:strRef>
          </c:cat>
          <c:val>
            <c:numRef>
              <c:f>Sheet1!$B$2:$C$2</c:f>
              <c:numCache>
                <c:formatCode>General</c:formatCode>
                <c:ptCount val="2"/>
                <c:pt idx="0">
                  <c:v>30</c:v>
                </c:pt>
                <c:pt idx="1">
                  <c:v>26</c:v>
                </c:pt>
              </c:numCache>
            </c:numRef>
          </c:val>
        </c:ser>
        <c:dLbls>
          <c:showLegendKey val="0"/>
          <c:showVal val="0"/>
          <c:showCatName val="0"/>
          <c:showSerName val="0"/>
          <c:showPercent val="0"/>
          <c:showBubbleSize val="0"/>
          <c:showLeaderLines val="1"/>
        </c:dLbls>
        <c:firstSliceAng val="0"/>
      </c:pieChart>
      <c:spPr>
        <a:solidFill>
          <a:srgbClr val="C0C0C0"/>
        </a:solidFill>
        <a:ln w="12680">
          <a:solidFill>
            <a:srgbClr val="808080"/>
          </a:solidFill>
          <a:prstDash val="solid"/>
        </a:ln>
      </c:spPr>
    </c:plotArea>
    <c:legend>
      <c:legendPos val="r"/>
      <c:layout>
        <c:manualLayout>
          <c:xMode val="edge"/>
          <c:yMode val="edge"/>
          <c:x val="0.88221153846153844"/>
          <c:y val="0.40444444444444444"/>
          <c:w val="0.10817307692307693"/>
          <c:h val="0.19111111111111112"/>
        </c:manualLayout>
      </c:layout>
      <c:overlay val="0"/>
      <c:spPr>
        <a:noFill/>
        <a:ln w="3170">
          <a:solidFill>
            <a:srgbClr val="000000"/>
          </a:solidFill>
          <a:prstDash val="solid"/>
        </a:ln>
      </c:spPr>
      <c:txPr>
        <a:bodyPr/>
        <a:lstStyle/>
        <a:p>
          <a:pPr>
            <a:defRPr sz="919" b="1" i="0" u="none" strike="noStrike" baseline="0">
              <a:solidFill>
                <a:srgbClr val="000000"/>
              </a:solidFill>
              <a:latin typeface="Arial"/>
              <a:ea typeface="Arial"/>
              <a:cs typeface="Arial"/>
            </a:defRPr>
          </a:pPr>
          <a:endParaRPr lang="da-DK"/>
        </a:p>
      </c:txPr>
    </c:legend>
    <c:plotVisOnly val="1"/>
    <c:dispBlanksAs val="zero"/>
    <c:showDLblsOverMax val="0"/>
  </c:chart>
  <c:spPr>
    <a:noFill/>
    <a:ln>
      <a:noFill/>
    </a:ln>
  </c:spPr>
  <c:txPr>
    <a:bodyPr/>
    <a:lstStyle/>
    <a:p>
      <a:pPr>
        <a:defRPr sz="998" b="1" i="0" u="none" strike="noStrike" baseline="0">
          <a:solidFill>
            <a:srgbClr val="000000"/>
          </a:solidFill>
          <a:latin typeface="Arial"/>
          <a:ea typeface="Arial"/>
          <a:cs typeface="Arial"/>
        </a:defRPr>
      </a:pPr>
      <a:endParaRPr lang="da-DK"/>
    </a:p>
  </c:tx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355769230769232"/>
          <c:y val="0.10222222222222223"/>
          <c:w val="0.43509615384615385"/>
          <c:h val="0.80444444444444441"/>
        </c:manualLayout>
      </c:layout>
      <c:pieChart>
        <c:varyColors val="1"/>
        <c:ser>
          <c:idx val="0"/>
          <c:order val="0"/>
          <c:tx>
            <c:strRef>
              <c:f>Sheet1!$A$2</c:f>
              <c:strCache>
                <c:ptCount val="1"/>
              </c:strCache>
            </c:strRef>
          </c:tx>
          <c:spPr>
            <a:solidFill>
              <a:srgbClr val="9999FF"/>
            </a:solidFill>
            <a:ln w="12681">
              <a:solidFill>
                <a:srgbClr val="000000"/>
              </a:solidFill>
              <a:prstDash val="solid"/>
            </a:ln>
          </c:spPr>
          <c:dPt>
            <c:idx val="0"/>
            <c:bubble3D val="0"/>
          </c:dPt>
          <c:dPt>
            <c:idx val="1"/>
            <c:bubble3D val="0"/>
            <c:spPr>
              <a:solidFill>
                <a:srgbClr val="993366"/>
              </a:solidFill>
              <a:ln w="12681">
                <a:solidFill>
                  <a:srgbClr val="000000"/>
                </a:solidFill>
                <a:prstDash val="solid"/>
              </a:ln>
            </c:spPr>
          </c:dPt>
          <c:cat>
            <c:strRef>
              <c:f>Sheet1!$B$1:$C$1</c:f>
              <c:strCache>
                <c:ptCount val="2"/>
                <c:pt idx="0">
                  <c:v>YES</c:v>
                </c:pt>
                <c:pt idx="1">
                  <c:v>NO</c:v>
                </c:pt>
              </c:strCache>
            </c:strRef>
          </c:cat>
          <c:val>
            <c:numRef>
              <c:f>Sheet1!$B$2:$C$2</c:f>
              <c:numCache>
                <c:formatCode>General</c:formatCode>
                <c:ptCount val="2"/>
                <c:pt idx="0">
                  <c:v>31</c:v>
                </c:pt>
                <c:pt idx="1">
                  <c:v>33</c:v>
                </c:pt>
              </c:numCache>
            </c:numRef>
          </c:val>
        </c:ser>
        <c:dLbls>
          <c:showLegendKey val="0"/>
          <c:showVal val="0"/>
          <c:showCatName val="0"/>
          <c:showSerName val="0"/>
          <c:showPercent val="0"/>
          <c:showBubbleSize val="0"/>
          <c:showLeaderLines val="1"/>
        </c:dLbls>
        <c:firstSliceAng val="0"/>
      </c:pieChart>
      <c:spPr>
        <a:solidFill>
          <a:srgbClr val="C0C0C0"/>
        </a:solidFill>
        <a:ln w="12681">
          <a:solidFill>
            <a:srgbClr val="808080"/>
          </a:solidFill>
          <a:prstDash val="solid"/>
        </a:ln>
      </c:spPr>
    </c:plotArea>
    <c:legend>
      <c:legendPos val="r"/>
      <c:layout>
        <c:manualLayout>
          <c:xMode val="edge"/>
          <c:yMode val="edge"/>
          <c:x val="0.88221153846153844"/>
          <c:y val="0.40444444444444444"/>
          <c:w val="0.10817307692307693"/>
          <c:h val="0.19111111111111112"/>
        </c:manualLayout>
      </c:layout>
      <c:overlay val="0"/>
      <c:spPr>
        <a:noFill/>
        <a:ln w="3170">
          <a:solidFill>
            <a:srgbClr val="000000"/>
          </a:solidFill>
          <a:prstDash val="solid"/>
        </a:ln>
      </c:spPr>
      <c:txPr>
        <a:bodyPr/>
        <a:lstStyle/>
        <a:p>
          <a:pPr>
            <a:defRPr sz="919" b="1" i="0" u="none" strike="noStrike" baseline="0">
              <a:solidFill>
                <a:srgbClr val="000000"/>
              </a:solidFill>
              <a:latin typeface="Arial"/>
              <a:ea typeface="Arial"/>
              <a:cs typeface="Arial"/>
            </a:defRPr>
          </a:pPr>
          <a:endParaRPr lang="da-DK"/>
        </a:p>
      </c:txPr>
    </c:legend>
    <c:plotVisOnly val="1"/>
    <c:dispBlanksAs val="zero"/>
    <c:showDLblsOverMax val="0"/>
  </c:chart>
  <c:spPr>
    <a:noFill/>
    <a:ln>
      <a:noFill/>
    </a:ln>
  </c:spPr>
  <c:txPr>
    <a:bodyPr/>
    <a:lstStyle/>
    <a:p>
      <a:pPr>
        <a:defRPr sz="998" b="1" i="0" u="none" strike="noStrike" baseline="0">
          <a:solidFill>
            <a:srgbClr val="000000"/>
          </a:solidFill>
          <a:latin typeface="Arial"/>
          <a:ea typeface="Arial"/>
          <a:cs typeface="Arial"/>
        </a:defRPr>
      </a:pPr>
      <a:endParaRPr lang="da-DK"/>
    </a:p>
  </c:tx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817307692307693"/>
          <c:y val="0.10222222222222223"/>
          <c:w val="0.43509615384615385"/>
          <c:h val="0.80444444444444441"/>
        </c:manualLayout>
      </c:layout>
      <c:pieChart>
        <c:varyColors val="1"/>
        <c:ser>
          <c:idx val="0"/>
          <c:order val="0"/>
          <c:tx>
            <c:strRef>
              <c:f>Sheet1!$A$2</c:f>
              <c:strCache>
                <c:ptCount val="1"/>
              </c:strCache>
            </c:strRef>
          </c:tx>
          <c:spPr>
            <a:solidFill>
              <a:srgbClr val="9999FF"/>
            </a:solidFill>
            <a:ln w="12680">
              <a:solidFill>
                <a:srgbClr val="000000"/>
              </a:solidFill>
              <a:prstDash val="solid"/>
            </a:ln>
          </c:spPr>
          <c:dPt>
            <c:idx val="0"/>
            <c:bubble3D val="0"/>
          </c:dPt>
          <c:dPt>
            <c:idx val="1"/>
            <c:bubble3D val="0"/>
            <c:spPr>
              <a:solidFill>
                <a:srgbClr val="993366"/>
              </a:solidFill>
              <a:ln w="12680">
                <a:solidFill>
                  <a:srgbClr val="000000"/>
                </a:solidFill>
                <a:prstDash val="solid"/>
              </a:ln>
            </c:spPr>
          </c:dPt>
          <c:cat>
            <c:strRef>
              <c:f>Sheet1!$B$1:$C$1</c:f>
              <c:strCache>
                <c:ptCount val="2"/>
                <c:pt idx="0">
                  <c:v>Access to spectrum should be on the basis of signal parameters only</c:v>
                </c:pt>
                <c:pt idx="1">
                  <c:v>Some segmentation by application should be retained</c:v>
                </c:pt>
              </c:strCache>
            </c:strRef>
          </c:cat>
          <c:val>
            <c:numRef>
              <c:f>Sheet1!$B$2:$C$2</c:f>
              <c:numCache>
                <c:formatCode>General</c:formatCode>
                <c:ptCount val="2"/>
                <c:pt idx="0">
                  <c:v>29</c:v>
                </c:pt>
                <c:pt idx="1">
                  <c:v>38</c:v>
                </c:pt>
              </c:numCache>
            </c:numRef>
          </c:val>
        </c:ser>
        <c:dLbls>
          <c:showLegendKey val="0"/>
          <c:showVal val="0"/>
          <c:showCatName val="0"/>
          <c:showSerName val="0"/>
          <c:showPercent val="0"/>
          <c:showBubbleSize val="0"/>
          <c:showLeaderLines val="1"/>
        </c:dLbls>
        <c:firstSliceAng val="0"/>
      </c:pieChart>
      <c:spPr>
        <a:solidFill>
          <a:srgbClr val="C0C0C0"/>
        </a:solidFill>
        <a:ln w="12680">
          <a:solidFill>
            <a:srgbClr val="808080"/>
          </a:solidFill>
          <a:prstDash val="solid"/>
        </a:ln>
      </c:spPr>
    </c:plotArea>
    <c:legend>
      <c:legendPos val="r"/>
      <c:layout>
        <c:manualLayout>
          <c:xMode val="edge"/>
          <c:yMode val="edge"/>
          <c:x val="0.65144230769230771"/>
          <c:y val="0.19111111111111112"/>
          <c:w val="0.33894230769230771"/>
          <c:h val="0.61777777777777776"/>
        </c:manualLayout>
      </c:layout>
      <c:overlay val="0"/>
      <c:spPr>
        <a:noFill/>
        <a:ln w="3170">
          <a:solidFill>
            <a:srgbClr val="000000"/>
          </a:solidFill>
          <a:prstDash val="solid"/>
        </a:ln>
      </c:spPr>
      <c:txPr>
        <a:bodyPr/>
        <a:lstStyle/>
        <a:p>
          <a:pPr>
            <a:defRPr sz="919" b="1" i="0" u="none" strike="noStrike" baseline="0">
              <a:solidFill>
                <a:srgbClr val="000000"/>
              </a:solidFill>
              <a:latin typeface="Arial"/>
              <a:ea typeface="Arial"/>
              <a:cs typeface="Arial"/>
            </a:defRPr>
          </a:pPr>
          <a:endParaRPr lang="da-DK"/>
        </a:p>
      </c:txPr>
    </c:legend>
    <c:plotVisOnly val="1"/>
    <c:dispBlanksAs val="zero"/>
    <c:showDLblsOverMax val="0"/>
  </c:chart>
  <c:spPr>
    <a:noFill/>
    <a:ln>
      <a:noFill/>
    </a:ln>
  </c:spPr>
  <c:txPr>
    <a:bodyPr/>
    <a:lstStyle/>
    <a:p>
      <a:pPr>
        <a:defRPr sz="998" b="1" i="0" u="none" strike="noStrike" baseline="0">
          <a:solidFill>
            <a:srgbClr val="000000"/>
          </a:solidFill>
          <a:latin typeface="Arial"/>
          <a:ea typeface="Arial"/>
          <a:cs typeface="Arial"/>
        </a:defRPr>
      </a:pPr>
      <a:endParaRPr lang="da-DK"/>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28BBFC-9B55-4536-A38B-7712975AB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7725</Words>
  <Characters>47128</Characters>
  <Application>Microsoft Office Word</Application>
  <DocSecurity>4</DocSecurity>
  <Lines>392</Lines>
  <Paragraphs>109</Paragraphs>
  <ScaleCrop>false</ScaleCrop>
  <HeadingPairs>
    <vt:vector size="2" baseType="variant">
      <vt:variant>
        <vt:lpstr>Title</vt:lpstr>
      </vt:variant>
      <vt:variant>
        <vt:i4>1</vt:i4>
      </vt:variant>
    </vt:vector>
  </HeadingPairs>
  <TitlesOfParts>
    <vt:vector size="1" baseType="lpstr">
      <vt:lpstr>New ECC Report Style</vt:lpstr>
    </vt:vector>
  </TitlesOfParts>
  <Company>ECO</Company>
  <LinksUpToDate>false</LinksUpToDate>
  <CharactersWithSpaces>54744</CharactersWithSpaces>
  <SharedDoc>false</SharedDoc>
  <HLinks>
    <vt:vector size="12" baseType="variant">
      <vt:variant>
        <vt:i4>1703987</vt:i4>
      </vt:variant>
      <vt:variant>
        <vt:i4>-1</vt:i4>
      </vt:variant>
      <vt:variant>
        <vt:i4>2049</vt:i4>
      </vt:variant>
      <vt:variant>
        <vt:i4>1</vt:i4>
      </vt:variant>
      <vt:variant>
        <vt:lpwstr>cept logo</vt:lpwstr>
      </vt:variant>
      <vt:variant>
        <vt:lpwstr/>
      </vt:variant>
      <vt:variant>
        <vt:i4>3932173</vt:i4>
      </vt:variant>
      <vt:variant>
        <vt:i4>-1</vt:i4>
      </vt:variant>
      <vt:variant>
        <vt:i4>2050</vt:i4>
      </vt:variant>
      <vt:variant>
        <vt:i4>1</vt:i4>
      </vt:variant>
      <vt:variant>
        <vt:lpwstr>ecc_logo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ECC Report Style</dc:title>
  <dc:creator>Bente Pedersen</dc:creator>
  <dc:description>This template is used as guidance to draft ECC Reports.</dc:description>
  <cp:lastModifiedBy>Thomas Weber</cp:lastModifiedBy>
  <cp:revision>2</cp:revision>
  <cp:lastPrinted>2012-10-04T09:52:00Z</cp:lastPrinted>
  <dcterms:created xsi:type="dcterms:W3CDTF">2014-03-03T12:13:00Z</dcterms:created>
  <dcterms:modified xsi:type="dcterms:W3CDTF">2014-03-03T12:13:00Z</dcterms:modified>
</cp:coreProperties>
</file>