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47AD0" w14:textId="44B30C30" w:rsidR="00606D78" w:rsidRPr="008C0670" w:rsidRDefault="00606D78" w:rsidP="00606D78">
      <w:pPr>
        <w:jc w:val="center"/>
        <w:rPr>
          <w:rFonts w:ascii="Arial" w:eastAsia="Times New Roman" w:hAnsi="Arial" w:cs="Arial"/>
          <w:b/>
          <w:bCs/>
          <w:color w:val="D2232A"/>
          <w:sz w:val="40"/>
          <w:szCs w:val="40"/>
          <w:lang w:val="en-GB"/>
        </w:rPr>
      </w:pPr>
      <w:r w:rsidRPr="008C0670">
        <w:rPr>
          <w:rFonts w:ascii="Arial" w:eastAsia="Times New Roman" w:hAnsi="Arial" w:cs="Arial"/>
          <w:b/>
          <w:bCs/>
          <w:color w:val="D2232A"/>
          <w:sz w:val="40"/>
          <w:szCs w:val="40"/>
          <w:lang w:val="en-GB"/>
        </w:rPr>
        <w:t>Explanatory paper</w:t>
      </w:r>
      <w:r w:rsidRPr="008C0670">
        <w:rPr>
          <w:rFonts w:ascii="Arial" w:eastAsia="Times New Roman" w:hAnsi="Arial" w:cs="Arial"/>
          <w:b/>
          <w:bCs/>
          <w:color w:val="D2232A"/>
          <w:sz w:val="40"/>
          <w:szCs w:val="40"/>
          <w:vertAlign w:val="superscript"/>
          <w:lang w:val="en-GB"/>
        </w:rPr>
        <w:footnoteReference w:id="1"/>
      </w:r>
      <w:r w:rsidRPr="008C0670">
        <w:rPr>
          <w:rFonts w:ascii="Arial" w:eastAsia="Times New Roman" w:hAnsi="Arial" w:cs="Arial"/>
          <w:b/>
          <w:bCs/>
          <w:color w:val="D2232A"/>
          <w:sz w:val="40"/>
          <w:szCs w:val="40"/>
          <w:lang w:val="en-GB"/>
        </w:rPr>
        <w:t xml:space="preserve"> related to Non-Professional UAS Use under General Authorisations</w:t>
      </w:r>
    </w:p>
    <w:p w14:paraId="474852D5" w14:textId="77777777" w:rsidR="00606D78" w:rsidRPr="00E40FD4" w:rsidRDefault="00606D78" w:rsidP="003B5106">
      <w:pPr>
        <w:pStyle w:val="ListParagraph"/>
        <w:keepNext/>
        <w:numPr>
          <w:ilvl w:val="0"/>
          <w:numId w:val="1"/>
        </w:numPr>
        <w:spacing w:before="480" w:after="240" w:line="240" w:lineRule="auto"/>
        <w:ind w:left="357" w:hanging="357"/>
        <w:outlineLvl w:val="1"/>
        <w:rPr>
          <w:rFonts w:ascii="Arial" w:eastAsia="Verdana" w:hAnsi="Arial" w:cs="Arial"/>
          <w:b/>
          <w:bCs/>
          <w:iCs/>
          <w:caps/>
          <w:color w:val="D2232A"/>
          <w:sz w:val="20"/>
          <w:szCs w:val="28"/>
          <w:lang w:val="en-GB" w:eastAsia="da-DK"/>
        </w:rPr>
      </w:pPr>
      <w:r w:rsidRPr="00E40FD4">
        <w:rPr>
          <w:rFonts w:ascii="Arial" w:eastAsia="Verdana" w:hAnsi="Arial" w:cs="Arial"/>
          <w:b/>
          <w:bCs/>
          <w:iCs/>
          <w:caps/>
          <w:color w:val="D2232A"/>
          <w:sz w:val="20"/>
          <w:szCs w:val="28"/>
          <w:lang w:val="en-GB" w:eastAsia="da-DK"/>
        </w:rPr>
        <w:t>Introduction</w:t>
      </w:r>
    </w:p>
    <w:p w14:paraId="3C9E83FB" w14:textId="50F6A77A" w:rsidR="00A60FA8" w:rsidRPr="00282B40" w:rsidRDefault="00A60FA8" w:rsidP="00606D78">
      <w:pPr>
        <w:spacing w:after="240" w:line="240" w:lineRule="auto"/>
        <w:jc w:val="both"/>
        <w:rPr>
          <w:rFonts w:ascii="Arial" w:eastAsia="Times New Roman" w:hAnsi="Arial" w:cs="Times New Roman"/>
          <w:sz w:val="20"/>
          <w:szCs w:val="24"/>
          <w:lang w:val="en-GB"/>
        </w:rPr>
      </w:pPr>
      <w:r w:rsidRPr="00282B40">
        <w:rPr>
          <w:rFonts w:ascii="Arial" w:eastAsia="Times New Roman" w:hAnsi="Arial" w:cs="Times New Roman"/>
          <w:sz w:val="20"/>
          <w:szCs w:val="24"/>
          <w:lang w:val="en-GB"/>
        </w:rPr>
        <w:t>Unmanned Aircraft Systems (UAS), also very often simply called ‘Drones’ technology has gone through massive development in recent years, and the market for civil UAS shows exponential growth, similar to all other significant new technologies. There</w:t>
      </w:r>
      <w:r w:rsidR="0055548E">
        <w:rPr>
          <w:rFonts w:ascii="Arial" w:eastAsia="Times New Roman" w:hAnsi="Arial" w:cs="Times New Roman"/>
          <w:sz w:val="20"/>
          <w:szCs w:val="24"/>
          <w:lang w:val="en-GB"/>
        </w:rPr>
        <w:t xml:space="preserve"> are</w:t>
      </w:r>
      <w:r w:rsidRPr="00282B40">
        <w:rPr>
          <w:rFonts w:ascii="Arial" w:eastAsia="Times New Roman" w:hAnsi="Arial" w:cs="Times New Roman"/>
          <w:sz w:val="20"/>
          <w:szCs w:val="24"/>
          <w:lang w:val="en-GB"/>
        </w:rPr>
        <w:t xml:space="preserve"> a number of challenges in fully realising the potential for growth that UAS bring with them. One of these challenges is meeting the spectrum requirements for UAS. Frequencies are used for command and control and identification as well as for payload transmissions (e.g. on</w:t>
      </w:r>
      <w:r w:rsidR="00FE6F79" w:rsidRPr="00282B40">
        <w:rPr>
          <w:rFonts w:ascii="Arial" w:eastAsia="Times New Roman" w:hAnsi="Arial" w:cs="Times New Roman"/>
          <w:sz w:val="20"/>
          <w:szCs w:val="24"/>
          <w:lang w:val="en-GB"/>
        </w:rPr>
        <w:t>-</w:t>
      </w:r>
      <w:r w:rsidRPr="00282B40">
        <w:rPr>
          <w:rFonts w:ascii="Arial" w:eastAsia="Times New Roman" w:hAnsi="Arial" w:cs="Times New Roman"/>
          <w:sz w:val="20"/>
          <w:szCs w:val="24"/>
          <w:lang w:val="en-GB"/>
        </w:rPr>
        <w:t>board cameras sending information to the ground).</w:t>
      </w:r>
      <w:r w:rsidR="00606D78" w:rsidRPr="00282B40">
        <w:rPr>
          <w:rFonts w:ascii="Arial" w:eastAsia="Times New Roman" w:hAnsi="Arial" w:cs="Times New Roman"/>
          <w:sz w:val="20"/>
          <w:szCs w:val="24"/>
          <w:lang w:val="en-GB"/>
        </w:rPr>
        <w:t xml:space="preserve"> This explanatory paper has its focus on the non-professional UAS use operating </w:t>
      </w:r>
      <w:r w:rsidR="00FA1BCE" w:rsidRPr="00282B40">
        <w:rPr>
          <w:rFonts w:ascii="Arial" w:eastAsia="Times New Roman" w:hAnsi="Arial" w:cs="Times New Roman"/>
          <w:sz w:val="20"/>
          <w:szCs w:val="24"/>
          <w:lang w:val="en-GB"/>
        </w:rPr>
        <w:t xml:space="preserve">solely </w:t>
      </w:r>
      <w:r w:rsidR="00606D78" w:rsidRPr="00282B40">
        <w:rPr>
          <w:rFonts w:ascii="Arial" w:eastAsia="Times New Roman" w:hAnsi="Arial" w:cs="Times New Roman"/>
          <w:sz w:val="20"/>
          <w:szCs w:val="24"/>
          <w:lang w:val="en-GB"/>
        </w:rPr>
        <w:t>under general authorisations</w:t>
      </w:r>
      <w:r w:rsidR="00FA1BCE" w:rsidRPr="00282B40">
        <w:rPr>
          <w:rFonts w:ascii="Arial" w:eastAsia="Times New Roman" w:hAnsi="Arial" w:cs="Times New Roman"/>
          <w:sz w:val="20"/>
          <w:szCs w:val="24"/>
          <w:lang w:val="en-GB"/>
        </w:rPr>
        <w:t xml:space="preserve"> (i.e. without any individual rights)</w:t>
      </w:r>
      <w:r w:rsidR="00606D78" w:rsidRPr="00282B40">
        <w:rPr>
          <w:rFonts w:ascii="Arial" w:eastAsia="Times New Roman" w:hAnsi="Arial" w:cs="Times New Roman"/>
          <w:sz w:val="20"/>
          <w:szCs w:val="24"/>
          <w:lang w:val="en-GB"/>
        </w:rPr>
        <w:t>, also often referred to as license-exempt usage conditions.</w:t>
      </w:r>
    </w:p>
    <w:p w14:paraId="2839FC6B" w14:textId="77777777" w:rsidR="00A60FA8" w:rsidRPr="00E40FD4" w:rsidRDefault="00A60FA8" w:rsidP="003B5106">
      <w:pPr>
        <w:pStyle w:val="ListParagraph"/>
        <w:keepNext/>
        <w:numPr>
          <w:ilvl w:val="0"/>
          <w:numId w:val="1"/>
        </w:numPr>
        <w:spacing w:before="480" w:after="240" w:line="240" w:lineRule="auto"/>
        <w:ind w:left="357" w:hanging="357"/>
        <w:outlineLvl w:val="1"/>
        <w:rPr>
          <w:rFonts w:ascii="Arial" w:eastAsia="Verdana" w:hAnsi="Arial" w:cs="Arial"/>
          <w:b/>
          <w:bCs/>
          <w:iCs/>
          <w:caps/>
          <w:color w:val="D2232A"/>
          <w:sz w:val="20"/>
          <w:szCs w:val="28"/>
          <w:lang w:val="en-GB" w:eastAsia="da-DK"/>
        </w:rPr>
      </w:pPr>
      <w:bookmarkStart w:id="0" w:name="_Toc494355258"/>
      <w:r w:rsidRPr="00E40FD4">
        <w:rPr>
          <w:rFonts w:ascii="Arial" w:eastAsia="Verdana" w:hAnsi="Arial" w:cs="Arial"/>
          <w:b/>
          <w:bCs/>
          <w:iCs/>
          <w:caps/>
          <w:color w:val="D2232A"/>
          <w:sz w:val="20"/>
          <w:szCs w:val="28"/>
          <w:lang w:val="en-GB" w:eastAsia="da-DK"/>
        </w:rPr>
        <w:t>Frequency considerations for Non-Professional UAS use</w:t>
      </w:r>
      <w:bookmarkEnd w:id="0"/>
    </w:p>
    <w:p w14:paraId="53954C3E" w14:textId="08270652" w:rsidR="00A60FA8" w:rsidRPr="009C1D1F" w:rsidRDefault="00A60FA8" w:rsidP="00BE3BB9">
      <w:pPr>
        <w:spacing w:line="240" w:lineRule="auto"/>
        <w:jc w:val="both"/>
        <w:rPr>
          <w:rFonts w:ascii="Arial" w:eastAsia="Times New Roman" w:hAnsi="Arial" w:cs="Arial"/>
          <w:sz w:val="20"/>
          <w:szCs w:val="20"/>
          <w:lang w:val="en-GB"/>
        </w:rPr>
      </w:pPr>
      <w:r w:rsidRPr="009C1D1F">
        <w:rPr>
          <w:rFonts w:ascii="Arial" w:eastAsia="Times New Roman" w:hAnsi="Arial" w:cs="Arial"/>
          <w:sz w:val="20"/>
          <w:szCs w:val="20"/>
          <w:lang w:val="en-GB"/>
        </w:rPr>
        <w:t>Non-professional UAS use is considered to make use of frequency opportunities under general authorisations</w:t>
      </w:r>
      <w:r w:rsidR="00FA1BCE" w:rsidRPr="009C1D1F">
        <w:rPr>
          <w:rFonts w:ascii="Arial" w:eastAsia="Times New Roman" w:hAnsi="Arial" w:cs="Arial"/>
          <w:sz w:val="20"/>
          <w:szCs w:val="20"/>
          <w:lang w:val="en-GB"/>
        </w:rPr>
        <w:t xml:space="preserve"> (</w:t>
      </w:r>
      <w:r w:rsidR="006652BD" w:rsidRPr="009C1D1F">
        <w:rPr>
          <w:rFonts w:ascii="Arial" w:eastAsia="Times New Roman" w:hAnsi="Arial" w:cs="Arial"/>
          <w:sz w:val="20"/>
          <w:szCs w:val="20"/>
          <w:lang w:val="en-GB"/>
        </w:rPr>
        <w:t xml:space="preserve">i.e. </w:t>
      </w:r>
      <w:r w:rsidR="00FA1BCE" w:rsidRPr="009C1D1F">
        <w:rPr>
          <w:rFonts w:ascii="Arial" w:eastAsia="Times New Roman" w:hAnsi="Arial" w:cs="Arial"/>
          <w:sz w:val="20"/>
          <w:szCs w:val="20"/>
          <w:lang w:val="en-GB"/>
        </w:rPr>
        <w:t>without any individual rights)</w:t>
      </w:r>
      <w:r w:rsidRPr="009C1D1F">
        <w:rPr>
          <w:rFonts w:ascii="Arial" w:eastAsia="Times New Roman" w:hAnsi="Arial" w:cs="Arial"/>
          <w:sz w:val="20"/>
          <w:szCs w:val="20"/>
          <w:lang w:val="en-GB"/>
        </w:rPr>
        <w:t>. The most common use is found in the 2400-2483.5 MHz (</w:t>
      </w:r>
      <w:hyperlink r:id="rId8" w:history="1">
        <w:r w:rsidR="00492978" w:rsidRPr="009C1D1F">
          <w:rPr>
            <w:rStyle w:val="Hyperlink"/>
            <w:rFonts w:ascii="Arial" w:hAnsi="Arial" w:cs="Arial"/>
            <w:sz w:val="20"/>
            <w:szCs w:val="20"/>
          </w:rPr>
          <w:t>ERC Recommendation 70-03, annex 1</w:t>
        </w:r>
      </w:hyperlink>
      <w:r w:rsidR="00A04974" w:rsidRPr="009C1D1F">
        <w:rPr>
          <w:rFonts w:ascii="Arial" w:hAnsi="Arial" w:cs="Arial"/>
          <w:sz w:val="20"/>
          <w:szCs w:val="20"/>
        </w:rPr>
        <w:t xml:space="preserve"> and </w:t>
      </w:r>
      <w:hyperlink r:id="rId9" w:history="1">
        <w:r w:rsidR="00492978" w:rsidRPr="009C1D1F">
          <w:rPr>
            <w:rStyle w:val="Hyperlink"/>
            <w:rFonts w:ascii="Arial" w:hAnsi="Arial" w:cs="Arial"/>
            <w:sz w:val="20"/>
            <w:szCs w:val="20"/>
          </w:rPr>
          <w:t>ERC Recommendation 70-03, annex 3</w:t>
        </w:r>
      </w:hyperlink>
      <w:r w:rsidRPr="009C1D1F">
        <w:rPr>
          <w:rFonts w:ascii="Arial" w:eastAsia="Times New Roman" w:hAnsi="Arial" w:cs="Arial"/>
          <w:sz w:val="20"/>
          <w:szCs w:val="20"/>
          <w:lang w:val="en-GB"/>
        </w:rPr>
        <w:t xml:space="preserve">) and 5725-5875 MHz bands (non-specific use according to </w:t>
      </w:r>
      <w:hyperlink r:id="rId10" w:history="1">
        <w:r w:rsidR="00492978" w:rsidRPr="009C1D1F">
          <w:rPr>
            <w:rStyle w:val="Hyperlink"/>
            <w:rFonts w:ascii="Arial" w:hAnsi="Arial" w:cs="Arial"/>
            <w:sz w:val="20"/>
            <w:szCs w:val="20"/>
          </w:rPr>
          <w:t>ERC Recommendation 70-03, annex 1</w:t>
        </w:r>
      </w:hyperlink>
      <w:r w:rsidRPr="009C1D1F">
        <w:rPr>
          <w:rFonts w:ascii="Arial" w:eastAsia="Times New Roman" w:hAnsi="Arial" w:cs="Arial"/>
          <w:sz w:val="20"/>
          <w:szCs w:val="20"/>
          <w:lang w:val="en-GB"/>
        </w:rPr>
        <w:t>) under the current regulatory conditions set out in</w:t>
      </w:r>
      <w:r w:rsidR="00D358C5" w:rsidRPr="009C1D1F">
        <w:rPr>
          <w:rFonts w:ascii="Arial" w:eastAsia="Times New Roman" w:hAnsi="Arial" w:cs="Arial"/>
          <w:sz w:val="20"/>
          <w:szCs w:val="20"/>
          <w:lang w:val="en-GB"/>
        </w:rPr>
        <w:t xml:space="preserve"> </w:t>
      </w:r>
      <w:hyperlink r:id="rId11" w:history="1">
        <w:r w:rsidR="009C1D1F" w:rsidRPr="009C1D1F">
          <w:rPr>
            <w:rStyle w:val="Hyperlink"/>
            <w:rFonts w:ascii="Arial" w:eastAsia="Times New Roman" w:hAnsi="Arial" w:cs="Arial"/>
            <w:sz w:val="20"/>
            <w:szCs w:val="20"/>
            <w:lang w:val="en-GB"/>
          </w:rPr>
          <w:t>ERC Recommendation 70-03</w:t>
        </w:r>
      </w:hyperlink>
      <w:r w:rsidRPr="009C1D1F">
        <w:rPr>
          <w:rFonts w:ascii="Arial" w:eastAsia="Times New Roman" w:hAnsi="Arial" w:cs="Arial"/>
          <w:sz w:val="20"/>
          <w:szCs w:val="20"/>
          <w:lang w:val="en-GB"/>
        </w:rPr>
        <w:t xml:space="preserve">. </w:t>
      </w:r>
      <w:r w:rsidR="006652BD" w:rsidRPr="009C1D1F">
        <w:rPr>
          <w:rFonts w:ascii="Arial" w:eastAsia="Times New Roman" w:hAnsi="Arial" w:cs="Arial"/>
          <w:sz w:val="20"/>
          <w:szCs w:val="20"/>
          <w:lang w:val="en-GB"/>
        </w:rPr>
        <w:t xml:space="preserve">Other usage opportunities exist in the 433 MHz and 863-870 MHz ranges. </w:t>
      </w:r>
      <w:r w:rsidRPr="009C1D1F">
        <w:rPr>
          <w:rFonts w:ascii="Arial" w:eastAsia="Times New Roman" w:hAnsi="Arial" w:cs="Arial"/>
          <w:sz w:val="20"/>
          <w:szCs w:val="20"/>
          <w:lang w:val="en-GB"/>
        </w:rPr>
        <w:t xml:space="preserve">These usage opportunities are based on harmonised frequency use without restrictions (RE Directive Class 1 equipment) and use is only bound to the </w:t>
      </w:r>
      <w:r w:rsidR="00F63041" w:rsidRPr="009C1D1F">
        <w:rPr>
          <w:rFonts w:ascii="Arial" w:eastAsia="Times New Roman" w:hAnsi="Arial" w:cs="Arial"/>
          <w:sz w:val="20"/>
          <w:szCs w:val="20"/>
          <w:lang w:val="en-GB"/>
        </w:rPr>
        <w:t xml:space="preserve">technical </w:t>
      </w:r>
      <w:r w:rsidR="00D54EBA" w:rsidRPr="009C1D1F">
        <w:rPr>
          <w:rFonts w:ascii="Arial" w:eastAsia="Times New Roman" w:hAnsi="Arial" w:cs="Arial"/>
          <w:sz w:val="20"/>
          <w:szCs w:val="20"/>
          <w:lang w:val="en-GB"/>
        </w:rPr>
        <w:t xml:space="preserve">and operational </w:t>
      </w:r>
      <w:r w:rsidR="00F63041" w:rsidRPr="009C1D1F">
        <w:rPr>
          <w:rFonts w:ascii="Arial" w:eastAsia="Times New Roman" w:hAnsi="Arial" w:cs="Arial"/>
          <w:sz w:val="20"/>
          <w:szCs w:val="20"/>
          <w:lang w:val="en-GB"/>
        </w:rPr>
        <w:t>conditions</w:t>
      </w:r>
      <w:r w:rsidRPr="009C1D1F">
        <w:rPr>
          <w:rFonts w:ascii="Arial" w:eastAsia="Times New Roman" w:hAnsi="Arial" w:cs="Arial"/>
          <w:sz w:val="20"/>
          <w:szCs w:val="20"/>
          <w:lang w:val="en-GB"/>
        </w:rPr>
        <w:t xml:space="preserve"> provided in the ERC</w:t>
      </w:r>
      <w:r w:rsidR="00A67A2E">
        <w:rPr>
          <w:rFonts w:ascii="Arial" w:eastAsia="Times New Roman" w:hAnsi="Arial" w:cs="Arial"/>
          <w:sz w:val="20"/>
          <w:szCs w:val="20"/>
          <w:lang w:val="en-GB"/>
        </w:rPr>
        <w:t xml:space="preserve"> Recommendation</w:t>
      </w:r>
      <w:r w:rsidRPr="009C1D1F">
        <w:rPr>
          <w:rFonts w:ascii="Arial" w:eastAsia="Times New Roman" w:hAnsi="Arial" w:cs="Arial"/>
          <w:sz w:val="20"/>
          <w:szCs w:val="20"/>
          <w:lang w:val="en-GB"/>
        </w:rPr>
        <w:t xml:space="preserve"> 70-03 and the EC Decision for SRD</w:t>
      </w:r>
      <w:r w:rsidR="00606D78" w:rsidRPr="00520AF0">
        <w:rPr>
          <w:rFonts w:ascii="Arial" w:eastAsia="Times New Roman" w:hAnsi="Arial" w:cs="Arial"/>
          <w:sz w:val="20"/>
          <w:szCs w:val="20"/>
          <w:lang w:val="en-GB"/>
        </w:rPr>
        <w:t xml:space="preserve"> (</w:t>
      </w:r>
      <w:hyperlink r:id="rId12" w:history="1">
        <w:r w:rsidR="00520AF0" w:rsidRPr="007477F1">
          <w:rPr>
            <w:rStyle w:val="Hyperlink"/>
            <w:rFonts w:ascii="Arial" w:hAnsi="Arial" w:cs="Arial"/>
            <w:sz w:val="20"/>
            <w:szCs w:val="20"/>
          </w:rPr>
          <w:t>2006/771/EC</w:t>
        </w:r>
      </w:hyperlink>
      <w:r w:rsidR="00606D78" w:rsidRPr="00520AF0">
        <w:rPr>
          <w:rFonts w:ascii="Arial" w:eastAsia="Times New Roman" w:hAnsi="Arial" w:cs="Arial"/>
          <w:sz w:val="20"/>
          <w:szCs w:val="20"/>
          <w:lang w:val="en-GB"/>
        </w:rPr>
        <w:t xml:space="preserve"> a</w:t>
      </w:r>
      <w:r w:rsidR="00606D78" w:rsidRPr="009C1D1F">
        <w:rPr>
          <w:rFonts w:ascii="Arial" w:eastAsia="Times New Roman" w:hAnsi="Arial" w:cs="Arial"/>
          <w:sz w:val="20"/>
          <w:szCs w:val="20"/>
          <w:lang w:val="en-GB"/>
        </w:rPr>
        <w:t>s amended)</w:t>
      </w:r>
      <w:r w:rsidRPr="009C1D1F">
        <w:rPr>
          <w:rFonts w:ascii="Arial" w:eastAsia="Times New Roman" w:hAnsi="Arial" w:cs="Arial"/>
          <w:sz w:val="20"/>
          <w:szCs w:val="20"/>
          <w:lang w:val="en-GB"/>
        </w:rPr>
        <w:t>.</w:t>
      </w:r>
    </w:p>
    <w:p w14:paraId="219AC948" w14:textId="1A35E9DE" w:rsidR="00A60FA8" w:rsidRPr="009C1D1F" w:rsidRDefault="00A60FA8" w:rsidP="00BE3BB9">
      <w:pPr>
        <w:spacing w:line="240" w:lineRule="auto"/>
        <w:jc w:val="both"/>
        <w:rPr>
          <w:rFonts w:ascii="Arial" w:eastAsia="Times New Roman" w:hAnsi="Arial" w:cs="Arial"/>
          <w:sz w:val="20"/>
          <w:szCs w:val="20"/>
          <w:lang w:val="en-GB"/>
        </w:rPr>
      </w:pPr>
      <w:r w:rsidRPr="009C1D1F">
        <w:rPr>
          <w:rFonts w:ascii="Arial" w:eastAsia="Times New Roman" w:hAnsi="Arial" w:cs="Arial"/>
          <w:sz w:val="20"/>
          <w:szCs w:val="20"/>
          <w:lang w:val="en-GB"/>
        </w:rPr>
        <w:t xml:space="preserve">There are also other frequency opportunities under general authorisation scheme such as for non-specific SRD or specific ones, e.g. </w:t>
      </w:r>
      <w:hyperlink r:id="rId13" w:history="1">
        <w:r w:rsidR="0039545A" w:rsidRPr="009C1D1F">
          <w:rPr>
            <w:rStyle w:val="Hyperlink"/>
            <w:rFonts w:ascii="Arial" w:eastAsia="Times New Roman" w:hAnsi="Arial" w:cs="Arial"/>
            <w:sz w:val="20"/>
            <w:szCs w:val="20"/>
            <w:lang w:val="en-GB"/>
          </w:rPr>
          <w:t>ERC Recommendation 70-03, annex 8</w:t>
        </w:r>
      </w:hyperlink>
      <w:r w:rsidR="0039545A" w:rsidRPr="009C1D1F">
        <w:rPr>
          <w:rFonts w:ascii="Arial" w:eastAsia="Times New Roman" w:hAnsi="Arial" w:cs="Arial"/>
          <w:sz w:val="20"/>
          <w:szCs w:val="20"/>
          <w:lang w:val="en-GB"/>
        </w:rPr>
        <w:t xml:space="preserve"> </w:t>
      </w:r>
      <w:r w:rsidRPr="009C1D1F">
        <w:rPr>
          <w:rFonts w:ascii="Arial" w:eastAsia="Times New Roman" w:hAnsi="Arial" w:cs="Arial"/>
          <w:sz w:val="20"/>
          <w:szCs w:val="20"/>
          <w:lang w:val="en-GB"/>
        </w:rPr>
        <w:t>for model control</w:t>
      </w:r>
      <w:r w:rsidR="006652BD" w:rsidRPr="009C1D1F">
        <w:rPr>
          <w:rFonts w:ascii="Arial" w:eastAsia="Times New Roman" w:hAnsi="Arial" w:cs="Arial"/>
          <w:sz w:val="20"/>
          <w:szCs w:val="20"/>
          <w:lang w:val="en-GB"/>
        </w:rPr>
        <w:t xml:space="preserve"> in the 27 MHz, 35 MHz and 40 MHz frequency ranges</w:t>
      </w:r>
      <w:r w:rsidRPr="009C1D1F">
        <w:rPr>
          <w:rFonts w:ascii="Arial" w:eastAsia="Times New Roman" w:hAnsi="Arial" w:cs="Arial"/>
          <w:sz w:val="20"/>
          <w:szCs w:val="20"/>
          <w:lang w:val="en-GB"/>
        </w:rPr>
        <w:t>.</w:t>
      </w:r>
    </w:p>
    <w:p w14:paraId="4A289211" w14:textId="0EF4E9D9" w:rsidR="00A60FA8" w:rsidRPr="009C1D1F" w:rsidRDefault="00A60FA8" w:rsidP="00BE3BB9">
      <w:pPr>
        <w:spacing w:line="240" w:lineRule="auto"/>
        <w:jc w:val="both"/>
        <w:rPr>
          <w:rFonts w:ascii="Arial" w:eastAsia="Times New Roman" w:hAnsi="Arial" w:cs="Arial"/>
          <w:sz w:val="20"/>
          <w:szCs w:val="20"/>
          <w:lang w:val="en-GB"/>
        </w:rPr>
      </w:pPr>
      <w:r w:rsidRPr="009C1D1F">
        <w:rPr>
          <w:rFonts w:ascii="Arial" w:eastAsia="Times New Roman" w:hAnsi="Arial" w:cs="Arial"/>
          <w:sz w:val="20"/>
          <w:szCs w:val="20"/>
          <w:lang w:val="en-GB"/>
        </w:rPr>
        <w:t xml:space="preserve">The usage opportunities described above are provided on a </w:t>
      </w:r>
      <w:r w:rsidR="002C78CE" w:rsidRPr="009C1D1F">
        <w:rPr>
          <w:rFonts w:ascii="Arial" w:eastAsia="Times New Roman" w:hAnsi="Arial" w:cs="Arial"/>
          <w:sz w:val="20"/>
          <w:szCs w:val="20"/>
          <w:lang w:val="en-GB"/>
        </w:rPr>
        <w:t xml:space="preserve">non-interference </w:t>
      </w:r>
      <w:r w:rsidRPr="009C1D1F">
        <w:rPr>
          <w:rFonts w:ascii="Arial" w:eastAsia="Times New Roman" w:hAnsi="Arial" w:cs="Arial"/>
          <w:sz w:val="20"/>
          <w:szCs w:val="20"/>
          <w:lang w:val="en-GB"/>
        </w:rPr>
        <w:t>non-protected basis. The frequency opportunities are based on shared, uncoordinated frequency use and UAS users have to take into account the possibility of receiving interference.</w:t>
      </w:r>
    </w:p>
    <w:p w14:paraId="117877E3" w14:textId="15D5CFC4" w:rsidR="00A60FA8" w:rsidRPr="009C1D1F" w:rsidRDefault="00A60FA8" w:rsidP="00BE3BB9">
      <w:pPr>
        <w:spacing w:line="240" w:lineRule="auto"/>
        <w:jc w:val="both"/>
        <w:rPr>
          <w:rFonts w:ascii="Arial" w:eastAsia="Times New Roman" w:hAnsi="Arial" w:cs="Arial"/>
          <w:sz w:val="20"/>
          <w:szCs w:val="20"/>
          <w:lang w:val="en-GB"/>
        </w:rPr>
      </w:pPr>
      <w:r w:rsidRPr="009C1D1F">
        <w:rPr>
          <w:rFonts w:ascii="Arial" w:eastAsia="Times New Roman" w:hAnsi="Arial" w:cs="Arial"/>
          <w:sz w:val="20"/>
          <w:szCs w:val="20"/>
          <w:lang w:val="en-GB"/>
        </w:rPr>
        <w:t xml:space="preserve">The use of 5 GHz WAS/RLAN as defined by </w:t>
      </w:r>
      <w:hyperlink r:id="rId14" w:history="1">
        <w:r w:rsidR="00165D0E" w:rsidRPr="009C1D1F">
          <w:rPr>
            <w:rStyle w:val="Hyperlink"/>
            <w:rFonts w:ascii="Arial" w:eastAsia="Times New Roman" w:hAnsi="Arial" w:cs="Arial"/>
            <w:sz w:val="20"/>
            <w:szCs w:val="20"/>
            <w:lang w:val="en-GB"/>
          </w:rPr>
          <w:t>ECC Decision (04)08</w:t>
        </w:r>
      </w:hyperlink>
      <w:r w:rsidRPr="009C1D1F">
        <w:rPr>
          <w:rFonts w:ascii="Arial" w:eastAsia="Times New Roman" w:hAnsi="Arial" w:cs="Arial"/>
          <w:sz w:val="20"/>
          <w:szCs w:val="20"/>
          <w:lang w:val="en-GB"/>
        </w:rPr>
        <w:t xml:space="preserve"> </w:t>
      </w:r>
      <w:r w:rsidR="00B914BC" w:rsidRPr="009C1D1F">
        <w:rPr>
          <w:rFonts w:ascii="Arial" w:eastAsia="Times New Roman" w:hAnsi="Arial" w:cs="Arial"/>
          <w:sz w:val="20"/>
          <w:szCs w:val="20"/>
          <w:lang w:val="en-GB"/>
        </w:rPr>
        <w:t xml:space="preserve">(and in </w:t>
      </w:r>
      <w:r w:rsidR="00044399" w:rsidRPr="009C1D1F">
        <w:rPr>
          <w:rFonts w:ascii="Arial" w:eastAsia="Times New Roman" w:hAnsi="Arial" w:cs="Arial"/>
          <w:sz w:val="20"/>
          <w:szCs w:val="20"/>
          <w:lang w:val="en-GB"/>
        </w:rPr>
        <w:t xml:space="preserve">Commission Implementing </w:t>
      </w:r>
      <w:hyperlink r:id="rId15" w:history="1">
        <w:r w:rsidR="007C6AEB" w:rsidRPr="009C1D1F">
          <w:rPr>
            <w:rStyle w:val="Hyperlink"/>
            <w:rFonts w:ascii="Arial" w:hAnsi="Arial" w:cs="Arial"/>
            <w:sz w:val="20"/>
            <w:szCs w:val="20"/>
          </w:rPr>
          <w:t>Decision (EU) 2022/179</w:t>
        </w:r>
      </w:hyperlink>
      <w:r w:rsidR="00186DCB" w:rsidRPr="009C1D1F">
        <w:rPr>
          <w:rFonts w:ascii="Arial" w:eastAsia="Times New Roman" w:hAnsi="Arial" w:cs="Arial"/>
          <w:sz w:val="20"/>
          <w:szCs w:val="20"/>
          <w:lang w:val="en-GB"/>
        </w:rPr>
        <w:t xml:space="preserve"> </w:t>
      </w:r>
      <w:r w:rsidR="00477FBB" w:rsidRPr="009C1D1F">
        <w:rPr>
          <w:rFonts w:ascii="Arial" w:eastAsia="Times New Roman" w:hAnsi="Arial" w:cs="Arial"/>
          <w:sz w:val="20"/>
          <w:szCs w:val="20"/>
          <w:lang w:val="en-GB"/>
        </w:rPr>
        <w:t>as amended by</w:t>
      </w:r>
      <w:r w:rsidR="003066BE" w:rsidRPr="009C1D1F">
        <w:rPr>
          <w:rFonts w:ascii="Arial" w:eastAsia="Times New Roman" w:hAnsi="Arial" w:cs="Arial"/>
          <w:sz w:val="20"/>
          <w:szCs w:val="20"/>
          <w:lang w:val="en-GB"/>
        </w:rPr>
        <w:t xml:space="preserve"> </w:t>
      </w:r>
      <w:r w:rsidR="00186DCB" w:rsidRPr="009C1D1F">
        <w:rPr>
          <w:rFonts w:ascii="Arial" w:eastAsia="Times New Roman" w:hAnsi="Arial" w:cs="Arial"/>
          <w:sz w:val="20"/>
          <w:szCs w:val="20"/>
          <w:lang w:val="en-GB"/>
        </w:rPr>
        <w:t>Commission Implement</w:t>
      </w:r>
      <w:r w:rsidR="003C54FA" w:rsidRPr="009C1D1F">
        <w:rPr>
          <w:rFonts w:ascii="Arial" w:eastAsia="Times New Roman" w:hAnsi="Arial" w:cs="Arial"/>
          <w:sz w:val="20"/>
          <w:szCs w:val="20"/>
          <w:lang w:val="en-GB"/>
        </w:rPr>
        <w:t>ing</w:t>
      </w:r>
      <w:r w:rsidR="00186DCB" w:rsidRPr="009C1D1F">
        <w:rPr>
          <w:rFonts w:ascii="Arial" w:eastAsia="Times New Roman" w:hAnsi="Arial" w:cs="Arial"/>
          <w:sz w:val="20"/>
          <w:szCs w:val="20"/>
          <w:lang w:val="en-GB"/>
        </w:rPr>
        <w:t xml:space="preserve"> </w:t>
      </w:r>
      <w:hyperlink r:id="rId16" w:history="1">
        <w:r w:rsidR="00E85D6F" w:rsidRPr="009C1D1F">
          <w:rPr>
            <w:rStyle w:val="Hyperlink"/>
            <w:rFonts w:ascii="Arial" w:hAnsi="Arial" w:cs="Arial"/>
            <w:sz w:val="20"/>
            <w:szCs w:val="20"/>
          </w:rPr>
          <w:t>Decision (EU) 2022/2307</w:t>
        </w:r>
      </w:hyperlink>
      <w:r w:rsidR="00B914BC" w:rsidRPr="009C1D1F">
        <w:rPr>
          <w:rFonts w:ascii="Arial" w:eastAsia="Times New Roman" w:hAnsi="Arial" w:cs="Arial"/>
          <w:sz w:val="20"/>
          <w:szCs w:val="20"/>
          <w:lang w:val="en-GB"/>
        </w:rPr>
        <w:t xml:space="preserve">) </w:t>
      </w:r>
      <w:r w:rsidRPr="009C1D1F">
        <w:rPr>
          <w:rFonts w:ascii="Arial" w:eastAsia="Times New Roman" w:hAnsi="Arial" w:cs="Arial"/>
          <w:sz w:val="20"/>
          <w:szCs w:val="20"/>
          <w:lang w:val="en-GB"/>
        </w:rPr>
        <w:t xml:space="preserve">is </w:t>
      </w:r>
      <w:r w:rsidR="00044399" w:rsidRPr="009C1D1F">
        <w:rPr>
          <w:rFonts w:ascii="Arial" w:eastAsia="Times New Roman" w:hAnsi="Arial" w:cs="Arial"/>
          <w:sz w:val="20"/>
          <w:szCs w:val="20"/>
          <w:lang w:val="en-GB"/>
        </w:rPr>
        <w:t>only</w:t>
      </w:r>
      <w:r w:rsidRPr="009C1D1F">
        <w:rPr>
          <w:rFonts w:ascii="Arial" w:eastAsia="Times New Roman" w:hAnsi="Arial" w:cs="Arial"/>
          <w:sz w:val="20"/>
          <w:szCs w:val="20"/>
          <w:lang w:val="en-GB"/>
        </w:rPr>
        <w:t xml:space="preserve"> allowed for UAS in 51</w:t>
      </w:r>
      <w:r w:rsidR="00044399" w:rsidRPr="009C1D1F">
        <w:rPr>
          <w:rFonts w:ascii="Arial" w:eastAsia="Times New Roman" w:hAnsi="Arial" w:cs="Arial"/>
          <w:sz w:val="20"/>
          <w:szCs w:val="20"/>
          <w:lang w:val="en-GB"/>
        </w:rPr>
        <w:t>7</w:t>
      </w:r>
      <w:r w:rsidRPr="009C1D1F">
        <w:rPr>
          <w:rFonts w:ascii="Arial" w:eastAsia="Times New Roman" w:hAnsi="Arial" w:cs="Arial"/>
          <w:sz w:val="20"/>
          <w:szCs w:val="20"/>
          <w:lang w:val="en-GB"/>
        </w:rPr>
        <w:t>0-5</w:t>
      </w:r>
      <w:r w:rsidR="00044399" w:rsidRPr="009C1D1F">
        <w:rPr>
          <w:rFonts w:ascii="Arial" w:eastAsia="Times New Roman" w:hAnsi="Arial" w:cs="Arial"/>
          <w:sz w:val="20"/>
          <w:szCs w:val="20"/>
          <w:lang w:val="en-GB"/>
        </w:rPr>
        <w:t>2</w:t>
      </w:r>
      <w:r w:rsidRPr="009C1D1F">
        <w:rPr>
          <w:rFonts w:ascii="Arial" w:eastAsia="Times New Roman" w:hAnsi="Arial" w:cs="Arial"/>
          <w:sz w:val="20"/>
          <w:szCs w:val="20"/>
          <w:lang w:val="en-GB"/>
        </w:rPr>
        <w:t>50 MHz</w:t>
      </w:r>
      <w:r w:rsidR="00044399" w:rsidRPr="009C1D1F">
        <w:rPr>
          <w:rFonts w:ascii="Arial" w:eastAsia="Times New Roman" w:hAnsi="Arial" w:cs="Arial"/>
          <w:sz w:val="20"/>
          <w:szCs w:val="20"/>
          <w:lang w:val="en-GB"/>
        </w:rPr>
        <w:t>.</w:t>
      </w:r>
      <w:r w:rsidRPr="009C1D1F">
        <w:rPr>
          <w:rFonts w:ascii="Arial" w:eastAsia="Times New Roman" w:hAnsi="Arial" w:cs="Arial"/>
          <w:sz w:val="20"/>
          <w:szCs w:val="20"/>
          <w:lang w:val="en-GB"/>
        </w:rPr>
        <w:t xml:space="preserve"> </w:t>
      </w:r>
      <w:r w:rsidR="00044399" w:rsidRPr="009C1D1F">
        <w:rPr>
          <w:rFonts w:ascii="Arial" w:eastAsia="Times New Roman" w:hAnsi="Arial" w:cs="Arial"/>
          <w:sz w:val="20"/>
          <w:szCs w:val="20"/>
          <w:lang w:val="en-GB"/>
        </w:rPr>
        <w:t>A</w:t>
      </w:r>
      <w:r w:rsidRPr="009C1D1F">
        <w:rPr>
          <w:rFonts w:ascii="Arial" w:eastAsia="Times New Roman" w:hAnsi="Arial" w:cs="Arial"/>
          <w:sz w:val="20"/>
          <w:szCs w:val="20"/>
          <w:lang w:val="en-GB"/>
        </w:rPr>
        <w:t>bove 5250</w:t>
      </w:r>
      <w:r w:rsidR="00E85D6F" w:rsidRPr="009C1D1F">
        <w:rPr>
          <w:rFonts w:ascii="Arial" w:eastAsia="Times New Roman" w:hAnsi="Arial" w:cs="Arial"/>
          <w:sz w:val="20"/>
          <w:szCs w:val="20"/>
          <w:lang w:val="en-GB"/>
        </w:rPr>
        <w:t> </w:t>
      </w:r>
      <w:r w:rsidRPr="009C1D1F">
        <w:rPr>
          <w:rFonts w:ascii="Arial" w:eastAsia="Times New Roman" w:hAnsi="Arial" w:cs="Arial"/>
          <w:sz w:val="20"/>
          <w:szCs w:val="20"/>
          <w:lang w:val="en-GB"/>
        </w:rPr>
        <w:t xml:space="preserve">MHz, the DFS mechanism is required. The detection and hence protection, of specific radar signals </w:t>
      </w:r>
      <w:r w:rsidR="002A3BDC" w:rsidRPr="009C1D1F">
        <w:rPr>
          <w:rFonts w:ascii="Arial" w:eastAsia="Times New Roman" w:hAnsi="Arial" w:cs="Arial"/>
          <w:sz w:val="20"/>
          <w:szCs w:val="20"/>
          <w:lang w:val="en-GB"/>
        </w:rPr>
        <w:t>may not</w:t>
      </w:r>
      <w:r w:rsidRPr="009C1D1F">
        <w:rPr>
          <w:rFonts w:ascii="Arial" w:eastAsia="Times New Roman" w:hAnsi="Arial" w:cs="Arial"/>
          <w:sz w:val="20"/>
          <w:szCs w:val="20"/>
          <w:lang w:val="en-GB"/>
        </w:rPr>
        <w:t xml:space="preserve"> be ensured when the DFS is implemented on</w:t>
      </w:r>
      <w:r w:rsidR="00990AF0" w:rsidRPr="009C1D1F">
        <w:rPr>
          <w:rFonts w:ascii="Arial" w:eastAsia="Times New Roman" w:hAnsi="Arial" w:cs="Arial"/>
          <w:sz w:val="20"/>
          <w:szCs w:val="20"/>
          <w:lang w:val="en-GB"/>
        </w:rPr>
        <w:t>-</w:t>
      </w:r>
      <w:r w:rsidRPr="009C1D1F">
        <w:rPr>
          <w:rFonts w:ascii="Arial" w:eastAsia="Times New Roman" w:hAnsi="Arial" w:cs="Arial"/>
          <w:sz w:val="20"/>
          <w:szCs w:val="20"/>
          <w:lang w:val="en-GB"/>
        </w:rPr>
        <w:t>board of a UAS application.</w:t>
      </w:r>
    </w:p>
    <w:p w14:paraId="559BED8B" w14:textId="4986F1F1" w:rsidR="00606D78" w:rsidRPr="009C1D1F" w:rsidRDefault="004D1413" w:rsidP="00BE3BB9">
      <w:pPr>
        <w:spacing w:line="240" w:lineRule="auto"/>
        <w:jc w:val="both"/>
        <w:rPr>
          <w:rFonts w:ascii="Arial" w:eastAsia="Times New Roman" w:hAnsi="Arial" w:cs="Arial"/>
          <w:sz w:val="20"/>
          <w:szCs w:val="20"/>
          <w:lang w:val="en-GB"/>
        </w:rPr>
      </w:pPr>
      <w:hyperlink r:id="rId17" w:history="1">
        <w:r w:rsidR="007104A8" w:rsidRPr="009C1D1F">
          <w:rPr>
            <w:rStyle w:val="Hyperlink"/>
            <w:rFonts w:ascii="Arial" w:hAnsi="Arial" w:cs="Arial"/>
            <w:sz w:val="20"/>
            <w:szCs w:val="20"/>
          </w:rPr>
          <w:t>ECC Report 268</w:t>
        </w:r>
      </w:hyperlink>
      <w:r w:rsidR="007104A8" w:rsidRPr="009C1D1F">
        <w:rPr>
          <w:rFonts w:ascii="Arial" w:hAnsi="Arial" w:cs="Arial"/>
          <w:sz w:val="20"/>
          <w:szCs w:val="20"/>
        </w:rPr>
        <w:t xml:space="preserve"> </w:t>
      </w:r>
      <w:r w:rsidR="00A60FA8" w:rsidRPr="009C1D1F">
        <w:rPr>
          <w:rFonts w:ascii="Arial" w:eastAsia="Times New Roman" w:hAnsi="Arial" w:cs="Arial"/>
          <w:sz w:val="20"/>
          <w:szCs w:val="20"/>
          <w:lang w:val="en-GB"/>
        </w:rPr>
        <w:t>provides additional information on UAS that fly in circumstances where they do not need communications with air traffic control.</w:t>
      </w:r>
    </w:p>
    <w:p w14:paraId="59F4E288" w14:textId="58FC8E82" w:rsidR="00B914BC" w:rsidRPr="009C1D1F" w:rsidRDefault="00B914BC" w:rsidP="00BE3BB9">
      <w:pPr>
        <w:spacing w:line="240" w:lineRule="auto"/>
        <w:jc w:val="both"/>
        <w:rPr>
          <w:rFonts w:ascii="Arial" w:eastAsia="Times New Roman" w:hAnsi="Arial" w:cs="Arial"/>
          <w:sz w:val="20"/>
          <w:szCs w:val="20"/>
          <w:lang w:val="en-GB"/>
        </w:rPr>
      </w:pPr>
      <w:r w:rsidRPr="009C1D1F">
        <w:rPr>
          <w:rFonts w:ascii="Arial" w:eastAsia="Times New Roman" w:hAnsi="Arial" w:cs="Arial"/>
          <w:sz w:val="20"/>
          <w:szCs w:val="20"/>
          <w:lang w:val="en-GB"/>
        </w:rPr>
        <w:t xml:space="preserve">Additional information about radio equipment that can be operated without any restriction in EU, EEA and EFTA (class 1 radio equipment) is available in the </w:t>
      </w:r>
      <w:hyperlink r:id="rId18" w:history="1">
        <w:r w:rsidR="0079023D" w:rsidRPr="009C1D1F">
          <w:rPr>
            <w:rStyle w:val="Hyperlink"/>
            <w:rFonts w:ascii="Arial" w:eastAsia="Times New Roman" w:hAnsi="Arial" w:cs="Arial"/>
            <w:sz w:val="20"/>
            <w:szCs w:val="20"/>
            <w:lang w:val="en-GB"/>
          </w:rPr>
          <w:t>EFIS</w:t>
        </w:r>
      </w:hyperlink>
      <w:r w:rsidRPr="009C1D1F">
        <w:rPr>
          <w:rFonts w:ascii="Arial" w:eastAsia="Times New Roman" w:hAnsi="Arial" w:cs="Arial"/>
          <w:sz w:val="20"/>
          <w:szCs w:val="20"/>
          <w:lang w:val="en-GB"/>
        </w:rPr>
        <w:t>.</w:t>
      </w:r>
    </w:p>
    <w:p w14:paraId="7331B3B5" w14:textId="60E5F8DC" w:rsidR="00A12916" w:rsidRPr="00282B40" w:rsidRDefault="00B914BC" w:rsidP="00BE3BB9">
      <w:pPr>
        <w:spacing w:line="240" w:lineRule="auto"/>
        <w:rPr>
          <w:lang w:val="en-GB"/>
        </w:rPr>
      </w:pPr>
      <w:r w:rsidRPr="009C1D1F">
        <w:rPr>
          <w:rFonts w:ascii="Arial" w:eastAsia="Times New Roman" w:hAnsi="Arial" w:cs="Arial"/>
          <w:sz w:val="20"/>
          <w:szCs w:val="20"/>
          <w:lang w:val="en-GB"/>
        </w:rPr>
        <w:t>UAS/Drones radio equipment</w:t>
      </w:r>
      <w:r w:rsidR="008F2F37" w:rsidRPr="009C1D1F">
        <w:rPr>
          <w:rFonts w:ascii="Arial" w:eastAsia="Times New Roman" w:hAnsi="Arial" w:cs="Arial"/>
          <w:sz w:val="20"/>
          <w:szCs w:val="20"/>
          <w:lang w:val="en-GB"/>
        </w:rPr>
        <w:t xml:space="preserve"> used under license-exempt utilisation conditions </w:t>
      </w:r>
      <w:r w:rsidRPr="009C1D1F">
        <w:rPr>
          <w:rFonts w:ascii="Arial" w:eastAsia="Times New Roman" w:hAnsi="Arial" w:cs="Arial"/>
          <w:sz w:val="20"/>
          <w:szCs w:val="20"/>
          <w:lang w:val="en-GB"/>
        </w:rPr>
        <w:t xml:space="preserve">shall especially comply with the respective radiated power limits </w:t>
      </w:r>
      <w:r w:rsidR="008F2F37" w:rsidRPr="009C1D1F">
        <w:rPr>
          <w:rFonts w:ascii="Arial" w:eastAsia="Times New Roman" w:hAnsi="Arial" w:cs="Arial"/>
          <w:sz w:val="20"/>
          <w:szCs w:val="20"/>
          <w:lang w:val="en-GB"/>
        </w:rPr>
        <w:t>as indicated in the following summary table.</w:t>
      </w:r>
    </w:p>
    <w:p w14:paraId="54C809E2" w14:textId="77777777" w:rsidR="008F2F37" w:rsidRPr="00282B40" w:rsidRDefault="008F2F37">
      <w:pPr>
        <w:rPr>
          <w:lang w:val="en-GB"/>
        </w:rPr>
        <w:sectPr w:rsidR="008F2F37" w:rsidRPr="00282B40">
          <w:headerReference w:type="default" r:id="rId19"/>
          <w:pgSz w:w="11906" w:h="16838"/>
          <w:pgMar w:top="1701" w:right="1134" w:bottom="1701" w:left="1134" w:header="708" w:footer="708" w:gutter="0"/>
          <w:cols w:space="708"/>
          <w:docGrid w:linePitch="360"/>
        </w:sectPr>
      </w:pPr>
    </w:p>
    <w:tbl>
      <w:tblPr>
        <w:tblStyle w:val="TableGrid"/>
        <w:tblpPr w:leftFromText="180" w:rightFromText="180" w:horzAnchor="margin" w:tblpY="555"/>
        <w:tblW w:w="5172" w:type="pct"/>
        <w:tblLook w:val="04A0" w:firstRow="1" w:lastRow="0" w:firstColumn="1" w:lastColumn="0" w:noHBand="0" w:noVBand="1"/>
      </w:tblPr>
      <w:tblGrid>
        <w:gridCol w:w="2261"/>
        <w:gridCol w:w="1811"/>
        <w:gridCol w:w="3736"/>
        <w:gridCol w:w="6080"/>
      </w:tblGrid>
      <w:tr w:rsidR="005F4E02" w:rsidRPr="00282B40" w14:paraId="526D617D" w14:textId="77777777" w:rsidTr="005F4E02">
        <w:tc>
          <w:tcPr>
            <w:tcW w:w="814" w:type="pct"/>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C00000"/>
          </w:tcPr>
          <w:p w14:paraId="193008EF" w14:textId="77777777" w:rsidR="00B914BC" w:rsidRPr="00282B40" w:rsidRDefault="00B914BC" w:rsidP="009A0D65">
            <w:pPr>
              <w:spacing w:before="120" w:after="120"/>
              <w:jc w:val="center"/>
              <w:rPr>
                <w:rFonts w:ascii="Arial" w:eastAsia="Calibri" w:hAnsi="Arial" w:cs="Arial"/>
                <w:b/>
                <w:color w:val="FFFFFF" w:themeColor="background1"/>
                <w:lang w:val="en-GB"/>
              </w:rPr>
            </w:pPr>
            <w:r w:rsidRPr="00282B40">
              <w:rPr>
                <w:rFonts w:ascii="Arial" w:eastAsia="Calibri" w:hAnsi="Arial" w:cs="Arial"/>
                <w:b/>
                <w:color w:val="FFFFFF" w:themeColor="background1"/>
                <w:lang w:val="en-GB"/>
              </w:rPr>
              <w:lastRenderedPageBreak/>
              <w:t>Frequency band</w:t>
            </w:r>
          </w:p>
        </w:tc>
        <w:tc>
          <w:tcPr>
            <w:tcW w:w="652" w:type="pct"/>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C00000"/>
          </w:tcPr>
          <w:p w14:paraId="62D36687" w14:textId="77777777" w:rsidR="00B914BC" w:rsidRPr="00282B40" w:rsidRDefault="00B914BC" w:rsidP="009A0D65">
            <w:pPr>
              <w:spacing w:before="120" w:after="120"/>
              <w:jc w:val="center"/>
              <w:rPr>
                <w:rFonts w:ascii="Arial" w:eastAsia="Calibri" w:hAnsi="Arial" w:cs="Arial"/>
                <w:b/>
                <w:color w:val="FFFFFF" w:themeColor="background1"/>
                <w:lang w:val="en-GB"/>
              </w:rPr>
            </w:pPr>
            <w:r w:rsidRPr="00282B40">
              <w:rPr>
                <w:rFonts w:ascii="Arial" w:eastAsia="Calibri" w:hAnsi="Arial" w:cs="Arial"/>
                <w:b/>
                <w:color w:val="FFFFFF" w:themeColor="background1"/>
                <w:lang w:val="en-GB"/>
              </w:rPr>
              <w:t>Non-professional UAS/Drones</w:t>
            </w:r>
          </w:p>
        </w:tc>
        <w:tc>
          <w:tcPr>
            <w:tcW w:w="1345" w:type="pct"/>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C00000"/>
          </w:tcPr>
          <w:p w14:paraId="6311419A" w14:textId="77777777" w:rsidR="00B914BC" w:rsidRPr="00282B40" w:rsidRDefault="00B914BC" w:rsidP="009A0D65">
            <w:pPr>
              <w:spacing w:before="120" w:after="120"/>
              <w:jc w:val="center"/>
              <w:rPr>
                <w:rFonts w:ascii="Arial" w:eastAsia="Calibri" w:hAnsi="Arial" w:cs="Arial"/>
                <w:b/>
                <w:color w:val="FFFFFF" w:themeColor="background1"/>
                <w:lang w:val="en-GB"/>
              </w:rPr>
            </w:pPr>
            <w:r w:rsidRPr="00282B40">
              <w:rPr>
                <w:rFonts w:ascii="Arial" w:eastAsia="Calibri" w:hAnsi="Arial" w:cs="Arial"/>
                <w:b/>
                <w:color w:val="FFFFFF" w:themeColor="background1"/>
                <w:lang w:val="en-GB"/>
              </w:rPr>
              <w:t>Reference</w:t>
            </w:r>
          </w:p>
        </w:tc>
        <w:tc>
          <w:tcPr>
            <w:tcW w:w="2189" w:type="pct"/>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C00000"/>
          </w:tcPr>
          <w:p w14:paraId="280E94C0" w14:textId="77777777" w:rsidR="00B914BC" w:rsidRPr="00282B40" w:rsidRDefault="00B914BC" w:rsidP="009A0D65">
            <w:pPr>
              <w:spacing w:before="120" w:after="120"/>
              <w:jc w:val="center"/>
              <w:rPr>
                <w:rFonts w:ascii="Arial" w:eastAsia="Calibri" w:hAnsi="Arial" w:cs="Arial"/>
                <w:b/>
                <w:color w:val="FFFFFF" w:themeColor="background1"/>
                <w:lang w:val="en-GB"/>
              </w:rPr>
            </w:pPr>
            <w:r w:rsidRPr="00282B40">
              <w:rPr>
                <w:rFonts w:ascii="Arial" w:eastAsia="Calibri" w:hAnsi="Arial" w:cs="Arial"/>
                <w:b/>
                <w:color w:val="FFFFFF" w:themeColor="background1"/>
                <w:lang w:val="en-GB"/>
              </w:rPr>
              <w:t>Background</w:t>
            </w:r>
          </w:p>
        </w:tc>
      </w:tr>
      <w:tr w:rsidR="005F4E02" w:rsidRPr="0055548E" w14:paraId="7D8227E5" w14:textId="77777777" w:rsidTr="005F4E02">
        <w:tc>
          <w:tcPr>
            <w:tcW w:w="814" w:type="pct"/>
            <w:tcBorders>
              <w:top w:val="single" w:sz="4" w:space="0" w:color="D2232A"/>
              <w:left w:val="single" w:sz="4" w:space="0" w:color="D2232A"/>
              <w:bottom w:val="single" w:sz="4" w:space="0" w:color="D2232A"/>
              <w:right w:val="single" w:sz="4" w:space="0" w:color="D2232A"/>
            </w:tcBorders>
          </w:tcPr>
          <w:p w14:paraId="4941ED26" w14:textId="77777777" w:rsidR="00B914BC" w:rsidRPr="009A0D65" w:rsidRDefault="00B914BC" w:rsidP="009A0D65">
            <w:pPr>
              <w:spacing w:before="60" w:after="60"/>
              <w:rPr>
                <w:rFonts w:ascii="Arial" w:eastAsia="Calibri" w:hAnsi="Arial" w:cs="Arial"/>
                <w:sz w:val="20"/>
                <w:szCs w:val="20"/>
                <w:lang w:val="en-GB"/>
              </w:rPr>
            </w:pPr>
            <w:r w:rsidRPr="009A0D65">
              <w:rPr>
                <w:rFonts w:ascii="Arial" w:eastAsia="Calibri" w:hAnsi="Arial" w:cs="Arial"/>
                <w:sz w:val="20"/>
                <w:szCs w:val="20"/>
                <w:lang w:val="en-GB"/>
              </w:rPr>
              <w:t>Within</w:t>
            </w:r>
          </w:p>
          <w:p w14:paraId="0133A47F" w14:textId="77777777" w:rsidR="00B914BC" w:rsidRPr="009A0D65" w:rsidRDefault="00B914BC" w:rsidP="009A0D65">
            <w:pPr>
              <w:spacing w:before="60" w:after="60"/>
              <w:rPr>
                <w:rFonts w:ascii="Arial" w:eastAsia="Calibri" w:hAnsi="Arial" w:cs="Arial"/>
                <w:sz w:val="20"/>
                <w:szCs w:val="20"/>
                <w:lang w:val="en-GB"/>
              </w:rPr>
            </w:pPr>
            <w:r w:rsidRPr="009A0D65">
              <w:rPr>
                <w:rFonts w:ascii="Arial" w:eastAsia="Calibri" w:hAnsi="Arial" w:cs="Arial"/>
                <w:sz w:val="20"/>
                <w:szCs w:val="20"/>
                <w:lang w:val="en-GB"/>
              </w:rPr>
              <w:t>26.957-27.283 MHz,</w:t>
            </w:r>
          </w:p>
          <w:p w14:paraId="353A5FDF" w14:textId="77777777" w:rsidR="00B914BC" w:rsidRPr="009A0D65" w:rsidRDefault="00B914BC" w:rsidP="009A0D65">
            <w:pPr>
              <w:spacing w:before="60" w:after="60"/>
              <w:rPr>
                <w:rFonts w:ascii="Arial" w:eastAsia="Calibri" w:hAnsi="Arial" w:cs="Arial"/>
                <w:sz w:val="20"/>
                <w:szCs w:val="20"/>
                <w:lang w:val="en-GB"/>
              </w:rPr>
            </w:pPr>
            <w:r w:rsidRPr="009A0D65">
              <w:rPr>
                <w:rFonts w:ascii="Arial" w:eastAsia="Calibri" w:hAnsi="Arial" w:cs="Arial"/>
                <w:sz w:val="20"/>
                <w:szCs w:val="20"/>
                <w:lang w:val="en-GB"/>
              </w:rPr>
              <w:t>34.995-35.225 MHz,</w:t>
            </w:r>
          </w:p>
          <w:p w14:paraId="1B7CCFA6" w14:textId="77777777" w:rsidR="00B914BC" w:rsidRPr="009A0D65" w:rsidRDefault="00B914BC" w:rsidP="009A0D65">
            <w:pPr>
              <w:spacing w:before="60" w:after="60"/>
              <w:rPr>
                <w:rFonts w:ascii="Arial" w:eastAsia="Calibri" w:hAnsi="Arial" w:cs="Arial"/>
                <w:sz w:val="20"/>
                <w:szCs w:val="20"/>
                <w:lang w:val="en-GB"/>
              </w:rPr>
            </w:pPr>
            <w:r w:rsidRPr="009A0D65">
              <w:rPr>
                <w:rFonts w:ascii="Arial" w:eastAsia="Calibri" w:hAnsi="Arial" w:cs="Arial"/>
                <w:sz w:val="20"/>
                <w:szCs w:val="20"/>
                <w:lang w:val="en-GB"/>
              </w:rPr>
              <w:t>40.66-40.7 MHz</w:t>
            </w:r>
          </w:p>
        </w:tc>
        <w:tc>
          <w:tcPr>
            <w:tcW w:w="652" w:type="pct"/>
            <w:tcBorders>
              <w:top w:val="single" w:sz="4" w:space="0" w:color="D2232A"/>
              <w:left w:val="single" w:sz="4" w:space="0" w:color="D2232A"/>
              <w:bottom w:val="single" w:sz="4" w:space="0" w:color="D2232A"/>
              <w:right w:val="single" w:sz="4" w:space="0" w:color="D2232A"/>
            </w:tcBorders>
          </w:tcPr>
          <w:p w14:paraId="1E36C5EC" w14:textId="77777777" w:rsidR="00B914BC" w:rsidRPr="009A0D65" w:rsidRDefault="00B914BC" w:rsidP="009A0D65">
            <w:pPr>
              <w:spacing w:before="60" w:after="60"/>
              <w:rPr>
                <w:rFonts w:ascii="Arial" w:eastAsia="Calibri" w:hAnsi="Arial" w:cs="Arial"/>
                <w:b/>
                <w:sz w:val="20"/>
                <w:szCs w:val="20"/>
                <w:lang w:val="en-GB"/>
              </w:rPr>
            </w:pPr>
            <w:r w:rsidRPr="009A0D65">
              <w:rPr>
                <w:rFonts w:ascii="Arial" w:eastAsia="Calibri" w:hAnsi="Arial" w:cs="Arial"/>
                <w:b/>
                <w:sz w:val="20"/>
                <w:szCs w:val="20"/>
                <w:lang w:val="en-GB"/>
              </w:rPr>
              <w:t>OK</w:t>
            </w:r>
          </w:p>
        </w:tc>
        <w:tc>
          <w:tcPr>
            <w:tcW w:w="1345" w:type="pct"/>
            <w:tcBorders>
              <w:top w:val="single" w:sz="4" w:space="0" w:color="D2232A"/>
              <w:left w:val="single" w:sz="4" w:space="0" w:color="D2232A"/>
              <w:bottom w:val="single" w:sz="4" w:space="0" w:color="D2232A"/>
              <w:right w:val="single" w:sz="4" w:space="0" w:color="D2232A"/>
            </w:tcBorders>
          </w:tcPr>
          <w:p w14:paraId="3653A9D1" w14:textId="56C24582" w:rsidR="00B914BC" w:rsidRPr="009A0D65" w:rsidRDefault="004D1413" w:rsidP="009A0D65">
            <w:pPr>
              <w:spacing w:before="60" w:after="60"/>
              <w:rPr>
                <w:rFonts w:ascii="Arial" w:eastAsia="Calibri" w:hAnsi="Arial" w:cs="Arial"/>
                <w:sz w:val="20"/>
                <w:szCs w:val="20"/>
                <w:lang w:val="en-GB"/>
              </w:rPr>
            </w:pPr>
            <w:hyperlink r:id="rId20" w:history="1">
              <w:r w:rsidR="00EE677C" w:rsidRPr="009A0D65">
                <w:rPr>
                  <w:rStyle w:val="Hyperlink"/>
                  <w:rFonts w:ascii="Arial" w:hAnsi="Arial" w:cs="Arial"/>
                  <w:sz w:val="20"/>
                  <w:szCs w:val="20"/>
                </w:rPr>
                <w:t>ERC Recommendation 70-03, annex 8</w:t>
              </w:r>
            </w:hyperlink>
          </w:p>
          <w:p w14:paraId="42A6862A" w14:textId="6BFCBB57" w:rsidR="00B914BC" w:rsidRPr="009A0D65" w:rsidRDefault="00B914BC" w:rsidP="009A0D65">
            <w:pPr>
              <w:spacing w:before="60" w:after="60"/>
              <w:rPr>
                <w:rFonts w:ascii="Arial" w:eastAsia="Calibri" w:hAnsi="Arial" w:cs="Arial"/>
                <w:sz w:val="20"/>
                <w:szCs w:val="20"/>
                <w:lang w:val="en-GB"/>
              </w:rPr>
            </w:pPr>
            <w:r w:rsidRPr="009A0D65">
              <w:rPr>
                <w:rFonts w:ascii="Arial" w:eastAsia="Calibri" w:hAnsi="Arial" w:cs="Arial"/>
                <w:sz w:val="20"/>
                <w:szCs w:val="20"/>
                <w:lang w:val="en-GB"/>
              </w:rPr>
              <w:t xml:space="preserve">and also covered by </w:t>
            </w:r>
            <w:hyperlink r:id="rId21" w:history="1">
              <w:r w:rsidR="00876699" w:rsidRPr="009A0D65">
                <w:rPr>
                  <w:rStyle w:val="Hyperlink"/>
                  <w:rFonts w:ascii="Arial" w:hAnsi="Arial" w:cs="Arial"/>
                  <w:sz w:val="20"/>
                  <w:szCs w:val="20"/>
                </w:rPr>
                <w:t>ERC Decision (01)11</w:t>
              </w:r>
            </w:hyperlink>
            <w:r w:rsidRPr="009A0D65">
              <w:rPr>
                <w:rFonts w:ascii="Arial" w:eastAsia="Calibri" w:hAnsi="Arial" w:cs="Arial"/>
                <w:sz w:val="20"/>
                <w:szCs w:val="20"/>
                <w:lang w:val="en-GB"/>
              </w:rPr>
              <w:t xml:space="preserve"> and </w:t>
            </w:r>
            <w:hyperlink r:id="rId22" w:history="1">
              <w:r w:rsidR="00054B46" w:rsidRPr="009A0D65">
                <w:rPr>
                  <w:rStyle w:val="Hyperlink"/>
                  <w:rFonts w:ascii="Arial" w:hAnsi="Arial" w:cs="Arial"/>
                  <w:sz w:val="20"/>
                  <w:szCs w:val="20"/>
                </w:rPr>
                <w:t>ERC Decision (01)12</w:t>
              </w:r>
            </w:hyperlink>
            <w:r w:rsidR="00054B46" w:rsidRPr="009A0D65">
              <w:rPr>
                <w:rFonts w:ascii="Arial" w:eastAsia="Calibri" w:hAnsi="Arial" w:cs="Arial"/>
                <w:sz w:val="20"/>
                <w:szCs w:val="20"/>
                <w:lang w:val="en-GB"/>
              </w:rPr>
              <w:t xml:space="preserve"> </w:t>
            </w:r>
          </w:p>
        </w:tc>
        <w:tc>
          <w:tcPr>
            <w:tcW w:w="2189" w:type="pct"/>
            <w:tcBorders>
              <w:top w:val="single" w:sz="4" w:space="0" w:color="D2232A"/>
              <w:left w:val="single" w:sz="4" w:space="0" w:color="D2232A"/>
              <w:bottom w:val="single" w:sz="4" w:space="0" w:color="D2232A"/>
              <w:right w:val="single" w:sz="4" w:space="0" w:color="D2232A"/>
            </w:tcBorders>
          </w:tcPr>
          <w:p w14:paraId="0975C324" w14:textId="77777777" w:rsidR="00B914BC" w:rsidRPr="009A0D65" w:rsidRDefault="00B914BC" w:rsidP="009A0D65">
            <w:pPr>
              <w:spacing w:before="60" w:after="60"/>
              <w:rPr>
                <w:rFonts w:ascii="Arial" w:eastAsia="Calibri" w:hAnsi="Arial" w:cs="Arial"/>
                <w:sz w:val="20"/>
                <w:szCs w:val="20"/>
                <w:lang w:val="en-GB"/>
              </w:rPr>
            </w:pPr>
            <w:r w:rsidRPr="009A0D65">
              <w:rPr>
                <w:rFonts w:ascii="Arial" w:eastAsia="Calibri" w:hAnsi="Arial" w:cs="Arial"/>
                <w:sz w:val="20"/>
                <w:szCs w:val="20"/>
                <w:lang w:val="en-GB"/>
              </w:rPr>
              <w:t>Up to 100 mW e.r.p.</w:t>
            </w:r>
          </w:p>
          <w:p w14:paraId="05CBF34E" w14:textId="77777777" w:rsidR="00B914BC" w:rsidRPr="009A0D65" w:rsidRDefault="00B914BC" w:rsidP="009A0D65">
            <w:pPr>
              <w:spacing w:before="60" w:after="60"/>
              <w:rPr>
                <w:rFonts w:ascii="Arial" w:eastAsia="Calibri" w:hAnsi="Arial" w:cs="Arial"/>
                <w:sz w:val="20"/>
                <w:szCs w:val="20"/>
                <w:lang w:val="en-GB"/>
              </w:rPr>
            </w:pPr>
          </w:p>
          <w:p w14:paraId="7C41A5CA" w14:textId="77777777" w:rsidR="00B914BC" w:rsidRPr="009A0D65" w:rsidRDefault="00B914BC" w:rsidP="009A0D65">
            <w:pPr>
              <w:spacing w:before="60" w:after="60"/>
              <w:rPr>
                <w:rFonts w:ascii="Arial" w:eastAsia="Calibri" w:hAnsi="Arial" w:cs="Arial"/>
                <w:sz w:val="20"/>
                <w:szCs w:val="20"/>
                <w:lang w:val="en-GB"/>
              </w:rPr>
            </w:pPr>
            <w:r w:rsidRPr="009A0D65">
              <w:rPr>
                <w:rFonts w:ascii="Arial" w:eastAsia="Calibri" w:hAnsi="Arial" w:cs="Arial"/>
                <w:sz w:val="20"/>
                <w:szCs w:val="20"/>
                <w:lang w:val="en-GB"/>
              </w:rPr>
              <w:t>35 MHz especially for flying models</w:t>
            </w:r>
          </w:p>
        </w:tc>
      </w:tr>
      <w:tr w:rsidR="00A05360" w:rsidRPr="0055548E" w14:paraId="476375C9" w14:textId="77777777" w:rsidTr="005F4E02">
        <w:tc>
          <w:tcPr>
            <w:tcW w:w="814" w:type="pct"/>
            <w:tcBorders>
              <w:top w:val="single" w:sz="4" w:space="0" w:color="D2232A"/>
              <w:left w:val="single" w:sz="4" w:space="0" w:color="D2232A"/>
              <w:bottom w:val="single" w:sz="4" w:space="0" w:color="D2232A"/>
              <w:right w:val="single" w:sz="4" w:space="0" w:color="D2232A"/>
            </w:tcBorders>
          </w:tcPr>
          <w:p w14:paraId="05418397" w14:textId="77777777" w:rsidR="00B914BC" w:rsidRPr="00671BE5" w:rsidRDefault="00B914BC" w:rsidP="00671BE5">
            <w:pPr>
              <w:spacing w:before="60" w:after="60"/>
              <w:rPr>
                <w:rFonts w:ascii="Arial" w:eastAsia="Calibri" w:hAnsi="Arial" w:cs="Arial"/>
                <w:sz w:val="20"/>
                <w:szCs w:val="20"/>
                <w:lang w:val="en-GB"/>
              </w:rPr>
            </w:pPr>
            <w:r w:rsidRPr="00671BE5">
              <w:rPr>
                <w:rFonts w:ascii="Arial" w:eastAsia="Calibri" w:hAnsi="Arial" w:cs="Arial"/>
                <w:sz w:val="20"/>
                <w:szCs w:val="20"/>
                <w:lang w:val="en-GB"/>
              </w:rPr>
              <w:t>E.g. within</w:t>
            </w:r>
          </w:p>
          <w:p w14:paraId="3D61F406" w14:textId="77777777" w:rsidR="00B914BC" w:rsidRPr="00671BE5" w:rsidRDefault="00B914BC" w:rsidP="00671BE5">
            <w:pPr>
              <w:spacing w:before="60" w:after="60"/>
              <w:rPr>
                <w:rFonts w:ascii="Arial" w:eastAsia="Calibri" w:hAnsi="Arial" w:cs="Arial"/>
                <w:sz w:val="20"/>
                <w:szCs w:val="20"/>
                <w:lang w:val="en-GB"/>
              </w:rPr>
            </w:pPr>
            <w:r w:rsidRPr="00671BE5">
              <w:rPr>
                <w:rFonts w:ascii="Arial" w:eastAsia="Calibri" w:hAnsi="Arial" w:cs="Arial"/>
                <w:sz w:val="20"/>
                <w:szCs w:val="20"/>
                <w:lang w:val="en-GB"/>
              </w:rPr>
              <w:t>26.957-27.283 MHz,</w:t>
            </w:r>
          </w:p>
          <w:p w14:paraId="71DB5E8C" w14:textId="77777777" w:rsidR="00B914BC" w:rsidRPr="00671BE5" w:rsidRDefault="00B914BC" w:rsidP="00671BE5">
            <w:pPr>
              <w:spacing w:before="60" w:after="60"/>
              <w:rPr>
                <w:rFonts w:ascii="Arial" w:eastAsia="Calibri" w:hAnsi="Arial" w:cs="Arial"/>
                <w:sz w:val="20"/>
                <w:szCs w:val="20"/>
                <w:lang w:val="en-GB"/>
              </w:rPr>
            </w:pPr>
            <w:r w:rsidRPr="00671BE5">
              <w:rPr>
                <w:rFonts w:ascii="Arial" w:eastAsia="Calibri" w:hAnsi="Arial" w:cs="Arial"/>
                <w:sz w:val="20"/>
                <w:szCs w:val="20"/>
                <w:lang w:val="en-GB"/>
              </w:rPr>
              <w:t>40.66-40.7 MHz,</w:t>
            </w:r>
          </w:p>
          <w:p w14:paraId="07C70EEF" w14:textId="77777777" w:rsidR="00B914BC" w:rsidRPr="00671BE5" w:rsidRDefault="00B914BC" w:rsidP="00671BE5">
            <w:pPr>
              <w:spacing w:before="60" w:after="60"/>
              <w:rPr>
                <w:rFonts w:ascii="Arial" w:eastAsia="Calibri" w:hAnsi="Arial" w:cs="Arial"/>
                <w:sz w:val="20"/>
                <w:szCs w:val="20"/>
                <w:lang w:val="en-GB"/>
              </w:rPr>
            </w:pPr>
            <w:r w:rsidRPr="00671BE5">
              <w:rPr>
                <w:rFonts w:ascii="Arial" w:eastAsia="Calibri" w:hAnsi="Arial" w:cs="Arial"/>
                <w:sz w:val="20"/>
                <w:szCs w:val="20"/>
                <w:lang w:val="en-GB"/>
              </w:rPr>
              <w:t>433.05-434.79 MHz,</w:t>
            </w:r>
          </w:p>
          <w:p w14:paraId="7A9493DA" w14:textId="6E2571E7" w:rsidR="00B914BC" w:rsidRPr="00671BE5" w:rsidRDefault="00B914BC" w:rsidP="00671BE5">
            <w:pPr>
              <w:spacing w:before="60" w:after="60"/>
              <w:rPr>
                <w:rFonts w:ascii="Arial" w:eastAsia="Calibri" w:hAnsi="Arial" w:cs="Arial"/>
                <w:sz w:val="20"/>
                <w:szCs w:val="20"/>
                <w:lang w:val="en-GB"/>
              </w:rPr>
            </w:pPr>
            <w:r w:rsidRPr="00671BE5">
              <w:rPr>
                <w:rFonts w:ascii="Arial" w:eastAsia="Calibri" w:hAnsi="Arial" w:cs="Arial"/>
                <w:sz w:val="20"/>
                <w:szCs w:val="20"/>
                <w:lang w:val="en-GB"/>
              </w:rPr>
              <w:t>863-870 MHz,</w:t>
            </w:r>
          </w:p>
          <w:p w14:paraId="4BE08CA1" w14:textId="77777777" w:rsidR="000446B3" w:rsidRPr="00671BE5" w:rsidRDefault="000446B3" w:rsidP="00671BE5">
            <w:pPr>
              <w:spacing w:before="60" w:after="60"/>
              <w:rPr>
                <w:rFonts w:ascii="Arial" w:eastAsia="Calibri" w:hAnsi="Arial" w:cs="Arial"/>
                <w:sz w:val="20"/>
                <w:szCs w:val="20"/>
                <w:lang w:val="en-GB"/>
              </w:rPr>
            </w:pPr>
          </w:p>
          <w:p w14:paraId="30F918C5" w14:textId="77777777" w:rsidR="00B914BC" w:rsidRPr="00671BE5" w:rsidRDefault="00B914BC" w:rsidP="00671BE5">
            <w:pPr>
              <w:spacing w:before="60" w:after="60"/>
              <w:rPr>
                <w:rFonts w:ascii="Arial" w:eastAsia="Calibri" w:hAnsi="Arial" w:cs="Arial"/>
                <w:sz w:val="20"/>
                <w:szCs w:val="20"/>
                <w:lang w:val="en-GB"/>
              </w:rPr>
            </w:pPr>
            <w:r w:rsidRPr="00671BE5">
              <w:rPr>
                <w:rFonts w:ascii="Arial" w:eastAsia="Calibri" w:hAnsi="Arial" w:cs="Arial"/>
                <w:sz w:val="20"/>
                <w:szCs w:val="20"/>
                <w:lang w:val="en-GB"/>
              </w:rPr>
              <w:t>2400-2483.5 MHz,</w:t>
            </w:r>
          </w:p>
          <w:p w14:paraId="5F37F9BB" w14:textId="77777777" w:rsidR="00B914BC" w:rsidRPr="00671BE5" w:rsidRDefault="00B914BC" w:rsidP="00671BE5">
            <w:pPr>
              <w:spacing w:before="60" w:after="60"/>
              <w:rPr>
                <w:rFonts w:ascii="Arial" w:eastAsia="Calibri" w:hAnsi="Arial" w:cs="Arial"/>
                <w:sz w:val="20"/>
                <w:szCs w:val="20"/>
                <w:lang w:val="en-GB"/>
              </w:rPr>
            </w:pPr>
            <w:r w:rsidRPr="00671BE5">
              <w:rPr>
                <w:rFonts w:ascii="Arial" w:eastAsia="Calibri" w:hAnsi="Arial" w:cs="Arial"/>
                <w:sz w:val="20"/>
                <w:szCs w:val="20"/>
                <w:lang w:val="en-GB"/>
              </w:rPr>
              <w:t>5725-5875 MHz</w:t>
            </w:r>
          </w:p>
        </w:tc>
        <w:tc>
          <w:tcPr>
            <w:tcW w:w="652" w:type="pct"/>
            <w:tcBorders>
              <w:top w:val="single" w:sz="4" w:space="0" w:color="D2232A"/>
              <w:left w:val="single" w:sz="4" w:space="0" w:color="D2232A"/>
              <w:bottom w:val="single" w:sz="4" w:space="0" w:color="D2232A"/>
              <w:right w:val="single" w:sz="4" w:space="0" w:color="D2232A"/>
            </w:tcBorders>
          </w:tcPr>
          <w:p w14:paraId="017475AC" w14:textId="77777777" w:rsidR="00B914BC" w:rsidRPr="00671BE5" w:rsidRDefault="00B914BC" w:rsidP="00671BE5">
            <w:pPr>
              <w:spacing w:before="60" w:after="60"/>
              <w:rPr>
                <w:rFonts w:ascii="Arial" w:eastAsia="Calibri" w:hAnsi="Arial" w:cs="Arial"/>
                <w:b/>
                <w:sz w:val="20"/>
                <w:szCs w:val="20"/>
                <w:lang w:val="en-GB"/>
              </w:rPr>
            </w:pPr>
            <w:r w:rsidRPr="00671BE5">
              <w:rPr>
                <w:rFonts w:ascii="Arial" w:eastAsia="Calibri" w:hAnsi="Arial" w:cs="Arial"/>
                <w:b/>
                <w:sz w:val="20"/>
                <w:szCs w:val="20"/>
                <w:lang w:val="en-GB"/>
              </w:rPr>
              <w:t>OK</w:t>
            </w:r>
          </w:p>
        </w:tc>
        <w:tc>
          <w:tcPr>
            <w:tcW w:w="1345" w:type="pct"/>
            <w:tcBorders>
              <w:top w:val="single" w:sz="4" w:space="0" w:color="D2232A"/>
              <w:left w:val="single" w:sz="4" w:space="0" w:color="D2232A"/>
              <w:bottom w:val="single" w:sz="4" w:space="0" w:color="D2232A"/>
              <w:right w:val="single" w:sz="4" w:space="0" w:color="D2232A"/>
            </w:tcBorders>
          </w:tcPr>
          <w:p w14:paraId="6BD2E8D3" w14:textId="56F56B74" w:rsidR="00B914BC" w:rsidRPr="00671BE5" w:rsidRDefault="004D1413" w:rsidP="00671BE5">
            <w:pPr>
              <w:spacing w:before="60" w:after="60"/>
              <w:rPr>
                <w:rFonts w:ascii="Arial" w:eastAsia="Calibri" w:hAnsi="Arial" w:cs="Arial"/>
                <w:sz w:val="20"/>
                <w:szCs w:val="20"/>
                <w:lang w:val="en-GB"/>
              </w:rPr>
            </w:pPr>
            <w:hyperlink r:id="rId23" w:history="1">
              <w:r w:rsidR="00A547F0" w:rsidRPr="00671BE5">
                <w:rPr>
                  <w:rStyle w:val="Hyperlink"/>
                  <w:rFonts w:ascii="Arial" w:hAnsi="Arial" w:cs="Arial"/>
                  <w:sz w:val="20"/>
                  <w:szCs w:val="20"/>
                </w:rPr>
                <w:t>ERC Recommendation 70-03, annex 1</w:t>
              </w:r>
            </w:hyperlink>
          </w:p>
        </w:tc>
        <w:tc>
          <w:tcPr>
            <w:tcW w:w="2189" w:type="pct"/>
            <w:tcBorders>
              <w:top w:val="single" w:sz="4" w:space="0" w:color="D2232A"/>
              <w:left w:val="single" w:sz="4" w:space="0" w:color="D2232A"/>
              <w:bottom w:val="single" w:sz="4" w:space="0" w:color="D2232A"/>
              <w:right w:val="single" w:sz="4" w:space="0" w:color="D2232A"/>
            </w:tcBorders>
          </w:tcPr>
          <w:p w14:paraId="4505A8A2" w14:textId="77777777" w:rsidR="000446B3" w:rsidRPr="00671BE5" w:rsidRDefault="000446B3" w:rsidP="00671BE5">
            <w:pPr>
              <w:spacing w:before="60" w:after="60"/>
              <w:rPr>
                <w:rFonts w:ascii="Arial" w:eastAsia="Calibri" w:hAnsi="Arial" w:cs="Arial"/>
                <w:sz w:val="20"/>
                <w:szCs w:val="20"/>
                <w:lang w:val="en-GB"/>
              </w:rPr>
            </w:pPr>
          </w:p>
          <w:p w14:paraId="153AE057" w14:textId="0CDDAB2F" w:rsidR="00B914BC" w:rsidRPr="00671BE5" w:rsidRDefault="008F2F37" w:rsidP="00671BE5">
            <w:pPr>
              <w:spacing w:before="60" w:after="60"/>
              <w:rPr>
                <w:rFonts w:ascii="Arial" w:eastAsia="Calibri" w:hAnsi="Arial" w:cs="Arial"/>
                <w:sz w:val="20"/>
                <w:szCs w:val="20"/>
                <w:lang w:val="en-GB"/>
              </w:rPr>
            </w:pPr>
            <w:r w:rsidRPr="00671BE5">
              <w:rPr>
                <w:rFonts w:ascii="Arial" w:eastAsia="Calibri" w:hAnsi="Arial" w:cs="Arial"/>
                <w:sz w:val="20"/>
                <w:szCs w:val="20"/>
                <w:lang w:val="en-GB"/>
              </w:rPr>
              <w:t>In 26.957-27.283 MHz up to 100 mW e.r.p</w:t>
            </w:r>
            <w:r w:rsidR="008D7631" w:rsidRPr="00671BE5">
              <w:rPr>
                <w:rFonts w:ascii="Arial" w:eastAsia="Calibri" w:hAnsi="Arial" w:cs="Arial"/>
                <w:sz w:val="20"/>
                <w:szCs w:val="20"/>
                <w:lang w:val="en-GB"/>
              </w:rPr>
              <w:t>.</w:t>
            </w:r>
          </w:p>
          <w:p w14:paraId="0EBD2806" w14:textId="77777777" w:rsidR="008F2F37" w:rsidRPr="00671BE5" w:rsidRDefault="008F2F37" w:rsidP="00671BE5">
            <w:pPr>
              <w:spacing w:before="60" w:after="60"/>
              <w:rPr>
                <w:rFonts w:ascii="Arial" w:eastAsia="Calibri" w:hAnsi="Arial" w:cs="Arial"/>
                <w:sz w:val="20"/>
                <w:szCs w:val="20"/>
                <w:lang w:val="en-GB"/>
              </w:rPr>
            </w:pPr>
            <w:r w:rsidRPr="00671BE5">
              <w:rPr>
                <w:rFonts w:ascii="Arial" w:eastAsia="Calibri" w:hAnsi="Arial" w:cs="Arial"/>
                <w:sz w:val="20"/>
                <w:szCs w:val="20"/>
                <w:lang w:val="en-GB"/>
              </w:rPr>
              <w:t>In 40.66-40.7 MHz up to 10 mW e.r.p.</w:t>
            </w:r>
          </w:p>
          <w:p w14:paraId="09B52D6C" w14:textId="77777777" w:rsidR="008F2F37" w:rsidRPr="00671BE5" w:rsidRDefault="008F2F37" w:rsidP="00671BE5">
            <w:pPr>
              <w:spacing w:before="60" w:after="60"/>
              <w:rPr>
                <w:rFonts w:ascii="Arial" w:eastAsia="Calibri" w:hAnsi="Arial" w:cs="Arial"/>
                <w:sz w:val="20"/>
                <w:szCs w:val="20"/>
                <w:lang w:val="en-GB"/>
              </w:rPr>
            </w:pPr>
            <w:r w:rsidRPr="00671BE5">
              <w:rPr>
                <w:rFonts w:ascii="Arial" w:eastAsia="Calibri" w:hAnsi="Arial" w:cs="Arial"/>
                <w:sz w:val="20"/>
                <w:szCs w:val="20"/>
                <w:lang w:val="en-GB"/>
              </w:rPr>
              <w:t>In 433.05-434.79 MHz up to 10 mW e.r.p.</w:t>
            </w:r>
          </w:p>
          <w:p w14:paraId="069C4767" w14:textId="2D8F9099" w:rsidR="008F2F37" w:rsidRPr="00671BE5" w:rsidRDefault="000446B3" w:rsidP="00671BE5">
            <w:pPr>
              <w:spacing w:before="60" w:after="60"/>
              <w:rPr>
                <w:rFonts w:ascii="Arial" w:eastAsia="Calibri" w:hAnsi="Arial" w:cs="Arial"/>
                <w:sz w:val="20"/>
                <w:szCs w:val="20"/>
                <w:lang w:val="en-GB"/>
              </w:rPr>
            </w:pPr>
            <w:r w:rsidRPr="00671BE5">
              <w:rPr>
                <w:rFonts w:ascii="Arial" w:eastAsia="Calibri" w:hAnsi="Arial" w:cs="Arial"/>
                <w:sz w:val="20"/>
                <w:szCs w:val="20"/>
                <w:lang w:val="en-GB"/>
              </w:rPr>
              <w:t>In</w:t>
            </w:r>
            <w:r w:rsidR="008F2F37" w:rsidRPr="00671BE5">
              <w:rPr>
                <w:rFonts w:ascii="Arial" w:eastAsia="Calibri" w:hAnsi="Arial" w:cs="Arial"/>
                <w:sz w:val="20"/>
                <w:szCs w:val="20"/>
                <w:lang w:val="en-GB"/>
              </w:rPr>
              <w:t xml:space="preserve"> 863-870 MHz, up to 25 mW</w:t>
            </w:r>
            <w:r w:rsidR="00996ECE" w:rsidRPr="00671BE5">
              <w:rPr>
                <w:rFonts w:ascii="Arial" w:eastAsia="Calibri" w:hAnsi="Arial" w:cs="Arial"/>
                <w:sz w:val="20"/>
                <w:szCs w:val="20"/>
                <w:lang w:val="en-GB"/>
              </w:rPr>
              <w:t xml:space="preserve"> e.r.p.</w:t>
            </w:r>
            <w:r w:rsidR="008F2F37" w:rsidRPr="00671BE5">
              <w:rPr>
                <w:rFonts w:ascii="Arial" w:eastAsia="Calibri" w:hAnsi="Arial" w:cs="Arial"/>
                <w:sz w:val="20"/>
                <w:szCs w:val="20"/>
                <w:lang w:val="en-GB"/>
              </w:rPr>
              <w:t>, some dedicated frequencies also up to 500 mW e.r.p.</w:t>
            </w:r>
          </w:p>
          <w:p w14:paraId="346BF29D" w14:textId="1EF54F96" w:rsidR="00466497" w:rsidRPr="00671BE5" w:rsidRDefault="00466497" w:rsidP="00671BE5">
            <w:pPr>
              <w:spacing w:before="60" w:after="60"/>
              <w:rPr>
                <w:rFonts w:ascii="Arial" w:eastAsia="Calibri" w:hAnsi="Arial" w:cs="Arial"/>
                <w:sz w:val="20"/>
                <w:szCs w:val="20"/>
                <w:lang w:val="en-GB"/>
              </w:rPr>
            </w:pPr>
            <w:r w:rsidRPr="00671BE5">
              <w:rPr>
                <w:rFonts w:ascii="Arial" w:eastAsia="Calibri" w:hAnsi="Arial" w:cs="Arial"/>
                <w:sz w:val="20"/>
                <w:szCs w:val="20"/>
                <w:lang w:val="en-GB"/>
              </w:rPr>
              <w:t>In 2400-2483.5 MHz up to 10 mW e.i.r.p.</w:t>
            </w:r>
          </w:p>
          <w:p w14:paraId="2C4753B8" w14:textId="77777777" w:rsidR="00B914BC" w:rsidRPr="00671BE5" w:rsidRDefault="00B914BC" w:rsidP="00671BE5">
            <w:pPr>
              <w:spacing w:before="60" w:after="60"/>
              <w:rPr>
                <w:rFonts w:ascii="Arial" w:eastAsia="Calibri" w:hAnsi="Arial" w:cs="Arial"/>
                <w:sz w:val="20"/>
                <w:szCs w:val="20"/>
                <w:lang w:val="en-GB"/>
              </w:rPr>
            </w:pPr>
            <w:r w:rsidRPr="00671BE5">
              <w:rPr>
                <w:rFonts w:ascii="Arial" w:eastAsia="Calibri" w:hAnsi="Arial" w:cs="Arial"/>
                <w:sz w:val="20"/>
                <w:szCs w:val="20"/>
                <w:lang w:val="en-GB"/>
              </w:rPr>
              <w:t>In 5725-5875 MHz up to 25 mW e.i.r.p.</w:t>
            </w:r>
          </w:p>
        </w:tc>
      </w:tr>
      <w:tr w:rsidR="00A05360" w:rsidRPr="0055548E" w14:paraId="0D8FEA5A" w14:textId="77777777" w:rsidTr="005F4E02">
        <w:tc>
          <w:tcPr>
            <w:tcW w:w="814" w:type="pct"/>
            <w:tcBorders>
              <w:top w:val="single" w:sz="4" w:space="0" w:color="D2232A"/>
              <w:left w:val="single" w:sz="4" w:space="0" w:color="D2232A"/>
              <w:bottom w:val="single" w:sz="4" w:space="0" w:color="D2232A"/>
              <w:right w:val="single" w:sz="4" w:space="0" w:color="D2232A"/>
            </w:tcBorders>
          </w:tcPr>
          <w:p w14:paraId="4DAA85D9" w14:textId="77AB03C9" w:rsidR="00B914BC" w:rsidRPr="00671BE5" w:rsidRDefault="00B914BC" w:rsidP="00671BE5">
            <w:pPr>
              <w:spacing w:before="60" w:after="60"/>
              <w:rPr>
                <w:rFonts w:ascii="Arial" w:eastAsia="Calibri" w:hAnsi="Arial" w:cs="Arial"/>
                <w:sz w:val="20"/>
                <w:szCs w:val="20"/>
                <w:lang w:val="en-GB"/>
              </w:rPr>
            </w:pPr>
            <w:r w:rsidRPr="00671BE5">
              <w:rPr>
                <w:rFonts w:ascii="Arial" w:eastAsia="Calibri" w:hAnsi="Arial" w:cs="Arial"/>
                <w:sz w:val="20"/>
                <w:szCs w:val="20"/>
                <w:lang w:val="en-GB"/>
              </w:rPr>
              <w:t>2400</w:t>
            </w:r>
            <w:r w:rsidR="000864E7" w:rsidRPr="00671BE5">
              <w:rPr>
                <w:rFonts w:ascii="Arial" w:eastAsia="Calibri" w:hAnsi="Arial" w:cs="Arial"/>
                <w:sz w:val="20"/>
                <w:szCs w:val="20"/>
                <w:lang w:val="en-GB"/>
              </w:rPr>
              <w:t>-</w:t>
            </w:r>
            <w:r w:rsidRPr="00671BE5">
              <w:rPr>
                <w:rFonts w:ascii="Arial" w:eastAsia="Calibri" w:hAnsi="Arial" w:cs="Arial"/>
                <w:sz w:val="20"/>
                <w:szCs w:val="20"/>
                <w:lang w:val="en-GB"/>
              </w:rPr>
              <w:t>2483.5 MHz</w:t>
            </w:r>
          </w:p>
        </w:tc>
        <w:tc>
          <w:tcPr>
            <w:tcW w:w="652" w:type="pct"/>
            <w:tcBorders>
              <w:top w:val="single" w:sz="4" w:space="0" w:color="D2232A"/>
              <w:left w:val="single" w:sz="4" w:space="0" w:color="D2232A"/>
              <w:bottom w:val="single" w:sz="4" w:space="0" w:color="D2232A"/>
              <w:right w:val="single" w:sz="4" w:space="0" w:color="D2232A"/>
            </w:tcBorders>
          </w:tcPr>
          <w:p w14:paraId="21DDA9E7" w14:textId="77777777" w:rsidR="00B914BC" w:rsidRPr="00671BE5" w:rsidRDefault="00B914BC" w:rsidP="00671BE5">
            <w:pPr>
              <w:spacing w:before="60" w:after="60"/>
              <w:rPr>
                <w:rFonts w:ascii="Arial" w:eastAsia="Calibri" w:hAnsi="Arial" w:cs="Arial"/>
                <w:b/>
                <w:sz w:val="20"/>
                <w:szCs w:val="20"/>
                <w:lang w:val="en-GB"/>
              </w:rPr>
            </w:pPr>
            <w:r w:rsidRPr="00671BE5">
              <w:rPr>
                <w:rFonts w:ascii="Arial" w:eastAsia="Calibri" w:hAnsi="Arial" w:cs="Arial"/>
                <w:b/>
                <w:sz w:val="20"/>
                <w:szCs w:val="20"/>
                <w:lang w:val="en-GB"/>
              </w:rPr>
              <w:t>OK</w:t>
            </w:r>
          </w:p>
        </w:tc>
        <w:tc>
          <w:tcPr>
            <w:tcW w:w="1345" w:type="pct"/>
            <w:tcBorders>
              <w:top w:val="single" w:sz="4" w:space="0" w:color="D2232A"/>
              <w:left w:val="single" w:sz="4" w:space="0" w:color="D2232A"/>
              <w:bottom w:val="single" w:sz="4" w:space="0" w:color="D2232A"/>
              <w:right w:val="single" w:sz="4" w:space="0" w:color="D2232A"/>
            </w:tcBorders>
          </w:tcPr>
          <w:p w14:paraId="4FCBD51D" w14:textId="4BE72606" w:rsidR="00B914BC" w:rsidRPr="00671BE5" w:rsidRDefault="004D1413" w:rsidP="00671BE5">
            <w:pPr>
              <w:spacing w:before="60" w:after="60"/>
              <w:rPr>
                <w:rFonts w:ascii="Arial" w:eastAsia="Calibri" w:hAnsi="Arial" w:cs="Arial"/>
                <w:sz w:val="20"/>
                <w:szCs w:val="20"/>
                <w:lang w:val="en-GB"/>
              </w:rPr>
            </w:pPr>
            <w:hyperlink r:id="rId24" w:history="1">
              <w:r w:rsidR="00672975" w:rsidRPr="00671BE5">
                <w:rPr>
                  <w:rStyle w:val="Hyperlink"/>
                  <w:rFonts w:ascii="Arial" w:hAnsi="Arial" w:cs="Arial"/>
                  <w:sz w:val="20"/>
                  <w:szCs w:val="20"/>
                </w:rPr>
                <w:t>ERC Recommendation 70-03, annex 3</w:t>
              </w:r>
            </w:hyperlink>
            <w:hyperlink r:id="rId25" w:history="1"/>
          </w:p>
        </w:tc>
        <w:tc>
          <w:tcPr>
            <w:tcW w:w="2189" w:type="pct"/>
            <w:tcBorders>
              <w:top w:val="single" w:sz="4" w:space="0" w:color="D2232A"/>
              <w:left w:val="single" w:sz="4" w:space="0" w:color="D2232A"/>
              <w:bottom w:val="single" w:sz="4" w:space="0" w:color="D2232A"/>
              <w:right w:val="single" w:sz="4" w:space="0" w:color="D2232A"/>
            </w:tcBorders>
          </w:tcPr>
          <w:p w14:paraId="59BB9D57" w14:textId="77777777" w:rsidR="00B914BC" w:rsidRPr="00671BE5" w:rsidRDefault="00B914BC" w:rsidP="00671BE5">
            <w:pPr>
              <w:spacing w:before="60" w:after="60"/>
              <w:rPr>
                <w:rFonts w:ascii="Arial" w:eastAsia="Calibri" w:hAnsi="Arial" w:cs="Arial"/>
                <w:sz w:val="20"/>
                <w:szCs w:val="20"/>
                <w:lang w:val="en-GB"/>
              </w:rPr>
            </w:pPr>
            <w:r w:rsidRPr="00671BE5">
              <w:rPr>
                <w:rFonts w:ascii="Arial" w:eastAsia="Calibri" w:hAnsi="Arial" w:cs="Arial"/>
                <w:sz w:val="20"/>
                <w:szCs w:val="20"/>
                <w:lang w:val="en-GB"/>
              </w:rPr>
              <w:t>Up to 100 mW e.i.r.p.</w:t>
            </w:r>
          </w:p>
        </w:tc>
      </w:tr>
      <w:tr w:rsidR="00A05360" w:rsidRPr="0055548E" w14:paraId="25FED6EA" w14:textId="77777777" w:rsidTr="005F4E02">
        <w:tc>
          <w:tcPr>
            <w:tcW w:w="814" w:type="pct"/>
            <w:tcBorders>
              <w:top w:val="single" w:sz="4" w:space="0" w:color="D2232A"/>
              <w:left w:val="single" w:sz="4" w:space="0" w:color="D2232A"/>
              <w:bottom w:val="single" w:sz="4" w:space="0" w:color="D2232A"/>
              <w:right w:val="single" w:sz="4" w:space="0" w:color="D2232A"/>
            </w:tcBorders>
          </w:tcPr>
          <w:p w14:paraId="651E26B5" w14:textId="416FB41C" w:rsidR="00B914BC" w:rsidRPr="00671BE5" w:rsidRDefault="00B914BC" w:rsidP="00671BE5">
            <w:pPr>
              <w:spacing w:before="60" w:after="60"/>
              <w:rPr>
                <w:rFonts w:ascii="Arial" w:eastAsia="Calibri" w:hAnsi="Arial" w:cs="Arial"/>
                <w:sz w:val="20"/>
                <w:szCs w:val="20"/>
                <w:lang w:val="en-GB"/>
              </w:rPr>
            </w:pPr>
            <w:r w:rsidRPr="00671BE5">
              <w:rPr>
                <w:rFonts w:ascii="Arial" w:eastAsia="Calibri" w:hAnsi="Arial" w:cs="Arial"/>
                <w:sz w:val="20"/>
                <w:szCs w:val="20"/>
                <w:lang w:val="en-GB"/>
              </w:rPr>
              <w:t>5150</w:t>
            </w:r>
            <w:r w:rsidR="000864E7" w:rsidRPr="00671BE5">
              <w:rPr>
                <w:rFonts w:ascii="Arial" w:eastAsia="Calibri" w:hAnsi="Arial" w:cs="Arial"/>
                <w:sz w:val="20"/>
                <w:szCs w:val="20"/>
                <w:lang w:val="en-GB"/>
              </w:rPr>
              <w:t>-</w:t>
            </w:r>
            <w:r w:rsidRPr="00671BE5">
              <w:rPr>
                <w:rFonts w:ascii="Arial" w:eastAsia="Calibri" w:hAnsi="Arial" w:cs="Arial"/>
                <w:sz w:val="20"/>
                <w:szCs w:val="20"/>
                <w:lang w:val="en-GB"/>
              </w:rPr>
              <w:t>5</w:t>
            </w:r>
            <w:r w:rsidR="00044399" w:rsidRPr="00671BE5">
              <w:rPr>
                <w:rFonts w:ascii="Arial" w:eastAsia="Calibri" w:hAnsi="Arial" w:cs="Arial"/>
                <w:sz w:val="20"/>
                <w:szCs w:val="20"/>
                <w:lang w:val="en-GB"/>
              </w:rPr>
              <w:t>17</w:t>
            </w:r>
            <w:r w:rsidRPr="00671BE5">
              <w:rPr>
                <w:rFonts w:ascii="Arial" w:eastAsia="Calibri" w:hAnsi="Arial" w:cs="Arial"/>
                <w:sz w:val="20"/>
                <w:szCs w:val="20"/>
                <w:lang w:val="en-GB"/>
              </w:rPr>
              <w:t>0 MHz</w:t>
            </w:r>
          </w:p>
        </w:tc>
        <w:tc>
          <w:tcPr>
            <w:tcW w:w="652" w:type="pct"/>
            <w:tcBorders>
              <w:top w:val="single" w:sz="4" w:space="0" w:color="D2232A"/>
              <w:left w:val="single" w:sz="4" w:space="0" w:color="D2232A"/>
              <w:bottom w:val="single" w:sz="4" w:space="0" w:color="D2232A"/>
              <w:right w:val="single" w:sz="4" w:space="0" w:color="D2232A"/>
            </w:tcBorders>
          </w:tcPr>
          <w:p w14:paraId="50BFC771" w14:textId="77777777" w:rsidR="00B914BC" w:rsidRPr="00671BE5" w:rsidRDefault="00B914BC" w:rsidP="00671BE5">
            <w:pPr>
              <w:spacing w:before="60" w:after="60"/>
              <w:rPr>
                <w:rFonts w:ascii="Arial" w:eastAsia="Calibri" w:hAnsi="Arial" w:cs="Arial"/>
                <w:b/>
                <w:sz w:val="20"/>
                <w:szCs w:val="20"/>
                <w:lang w:val="en-GB"/>
              </w:rPr>
            </w:pPr>
            <w:r w:rsidRPr="00671BE5">
              <w:rPr>
                <w:rFonts w:ascii="Arial" w:eastAsia="Calibri" w:hAnsi="Arial" w:cs="Arial"/>
                <w:b/>
                <w:sz w:val="20"/>
                <w:szCs w:val="20"/>
                <w:lang w:val="en-GB"/>
              </w:rPr>
              <w:t xml:space="preserve">NO </w:t>
            </w:r>
          </w:p>
        </w:tc>
        <w:tc>
          <w:tcPr>
            <w:tcW w:w="1345" w:type="pct"/>
            <w:vMerge w:val="restart"/>
            <w:tcBorders>
              <w:top w:val="single" w:sz="4" w:space="0" w:color="D2232A"/>
              <w:left w:val="single" w:sz="4" w:space="0" w:color="D2232A"/>
              <w:bottom w:val="single" w:sz="4" w:space="0" w:color="D2232A"/>
              <w:right w:val="single" w:sz="4" w:space="0" w:color="D2232A"/>
            </w:tcBorders>
          </w:tcPr>
          <w:p w14:paraId="598A412A" w14:textId="284231B1" w:rsidR="00B914BC" w:rsidRPr="00671BE5" w:rsidRDefault="004D1413" w:rsidP="00671BE5">
            <w:pPr>
              <w:spacing w:before="60" w:after="60"/>
              <w:rPr>
                <w:rFonts w:ascii="Arial" w:eastAsia="Calibri" w:hAnsi="Arial" w:cs="Arial"/>
                <w:sz w:val="20"/>
                <w:szCs w:val="20"/>
                <w:lang w:val="en-GB"/>
              </w:rPr>
            </w:pPr>
            <w:hyperlink r:id="rId26" w:history="1">
              <w:r w:rsidR="00671BE5">
                <w:rPr>
                  <w:rStyle w:val="Hyperlink"/>
                  <w:rFonts w:ascii="Arial" w:hAnsi="Arial" w:cs="Arial"/>
                  <w:sz w:val="20"/>
                  <w:szCs w:val="20"/>
                </w:rPr>
                <w:t>ECC Decision (04)08</w:t>
              </w:r>
            </w:hyperlink>
          </w:p>
        </w:tc>
        <w:tc>
          <w:tcPr>
            <w:tcW w:w="2189" w:type="pct"/>
            <w:tcBorders>
              <w:top w:val="single" w:sz="4" w:space="0" w:color="D2232A"/>
              <w:left w:val="single" w:sz="4" w:space="0" w:color="D2232A"/>
              <w:bottom w:val="single" w:sz="4" w:space="0" w:color="D2232A"/>
              <w:right w:val="single" w:sz="4" w:space="0" w:color="D2232A"/>
            </w:tcBorders>
          </w:tcPr>
          <w:p w14:paraId="27F2BB0E" w14:textId="1BC19EB9" w:rsidR="00B914BC" w:rsidRPr="00671BE5" w:rsidRDefault="004308E0" w:rsidP="00671BE5">
            <w:pPr>
              <w:spacing w:before="60" w:after="60"/>
              <w:rPr>
                <w:rFonts w:ascii="Arial" w:eastAsia="Calibri" w:hAnsi="Arial" w:cs="Arial"/>
                <w:sz w:val="20"/>
                <w:szCs w:val="20"/>
                <w:lang w:val="en-GB"/>
              </w:rPr>
            </w:pPr>
            <w:r w:rsidRPr="00671BE5">
              <w:rPr>
                <w:rFonts w:ascii="Arial" w:eastAsia="Calibri" w:hAnsi="Arial" w:cs="Arial"/>
                <w:b/>
                <w:sz w:val="20"/>
                <w:szCs w:val="20"/>
                <w:lang w:val="en-GB"/>
              </w:rPr>
              <w:t>Not possible because of incompatibility with aeronautical telemetry transmissions in 5150-5160 MHz</w:t>
            </w:r>
          </w:p>
        </w:tc>
      </w:tr>
      <w:tr w:rsidR="00A05360" w:rsidRPr="0055548E" w14:paraId="7ECAA5C3" w14:textId="77777777" w:rsidTr="005F4E02">
        <w:tc>
          <w:tcPr>
            <w:tcW w:w="814" w:type="pct"/>
            <w:tcBorders>
              <w:top w:val="single" w:sz="4" w:space="0" w:color="D2232A"/>
              <w:left w:val="single" w:sz="4" w:space="0" w:color="D2232A"/>
              <w:bottom w:val="single" w:sz="4" w:space="0" w:color="D2232A"/>
              <w:right w:val="single" w:sz="4" w:space="0" w:color="D2232A"/>
            </w:tcBorders>
          </w:tcPr>
          <w:p w14:paraId="4755F9CC" w14:textId="7AA3E302" w:rsidR="00044399" w:rsidRPr="00671BE5" w:rsidRDefault="00044399" w:rsidP="00671BE5">
            <w:pPr>
              <w:spacing w:before="60" w:after="60"/>
              <w:rPr>
                <w:rFonts w:ascii="Arial" w:eastAsia="Calibri" w:hAnsi="Arial" w:cs="Arial"/>
                <w:sz w:val="20"/>
                <w:szCs w:val="20"/>
                <w:lang w:val="en-GB"/>
              </w:rPr>
            </w:pPr>
            <w:r w:rsidRPr="00671BE5">
              <w:rPr>
                <w:rFonts w:ascii="Arial" w:eastAsia="Calibri" w:hAnsi="Arial" w:cs="Arial"/>
                <w:sz w:val="20"/>
                <w:szCs w:val="20"/>
                <w:lang w:val="en-GB"/>
              </w:rPr>
              <w:t>5170-5250 MHz</w:t>
            </w:r>
          </w:p>
        </w:tc>
        <w:tc>
          <w:tcPr>
            <w:tcW w:w="652" w:type="pct"/>
            <w:tcBorders>
              <w:top w:val="single" w:sz="4" w:space="0" w:color="D2232A"/>
              <w:left w:val="single" w:sz="4" w:space="0" w:color="D2232A"/>
              <w:bottom w:val="single" w:sz="4" w:space="0" w:color="D2232A"/>
              <w:right w:val="single" w:sz="4" w:space="0" w:color="D2232A"/>
            </w:tcBorders>
          </w:tcPr>
          <w:p w14:paraId="485CF1BB" w14:textId="0DE1FB2D" w:rsidR="00044399" w:rsidRPr="00671BE5" w:rsidRDefault="00044399" w:rsidP="00671BE5">
            <w:pPr>
              <w:spacing w:before="60" w:after="60"/>
              <w:rPr>
                <w:rFonts w:ascii="Arial" w:eastAsia="Calibri" w:hAnsi="Arial" w:cs="Arial"/>
                <w:b/>
                <w:sz w:val="20"/>
                <w:szCs w:val="20"/>
                <w:lang w:val="en-GB"/>
              </w:rPr>
            </w:pPr>
            <w:r w:rsidRPr="00671BE5">
              <w:rPr>
                <w:rFonts w:ascii="Arial" w:eastAsia="Calibri" w:hAnsi="Arial" w:cs="Arial"/>
                <w:b/>
                <w:sz w:val="20"/>
                <w:szCs w:val="20"/>
                <w:lang w:val="en-GB"/>
              </w:rPr>
              <w:t>OK</w:t>
            </w:r>
          </w:p>
        </w:tc>
        <w:tc>
          <w:tcPr>
            <w:tcW w:w="1345" w:type="pct"/>
            <w:vMerge/>
            <w:tcBorders>
              <w:top w:val="single" w:sz="4" w:space="0" w:color="D2232A"/>
              <w:left w:val="single" w:sz="4" w:space="0" w:color="D2232A"/>
              <w:bottom w:val="single" w:sz="4" w:space="0" w:color="D2232A"/>
              <w:right w:val="single" w:sz="4" w:space="0" w:color="D2232A"/>
            </w:tcBorders>
          </w:tcPr>
          <w:p w14:paraId="30B27EFB" w14:textId="77777777" w:rsidR="00044399" w:rsidRPr="00671BE5" w:rsidRDefault="00044399" w:rsidP="00671BE5">
            <w:pPr>
              <w:spacing w:before="60" w:after="60"/>
              <w:rPr>
                <w:rFonts w:ascii="Arial" w:hAnsi="Arial" w:cs="Arial"/>
                <w:sz w:val="20"/>
                <w:szCs w:val="20"/>
              </w:rPr>
            </w:pPr>
          </w:p>
        </w:tc>
        <w:tc>
          <w:tcPr>
            <w:tcW w:w="2189" w:type="pct"/>
            <w:tcBorders>
              <w:top w:val="single" w:sz="4" w:space="0" w:color="D2232A"/>
              <w:left w:val="single" w:sz="4" w:space="0" w:color="D2232A"/>
              <w:bottom w:val="single" w:sz="4" w:space="0" w:color="D2232A"/>
              <w:right w:val="single" w:sz="4" w:space="0" w:color="D2232A"/>
            </w:tcBorders>
          </w:tcPr>
          <w:p w14:paraId="4ABE3A2D" w14:textId="1192E3ED" w:rsidR="00044399" w:rsidRPr="00671BE5" w:rsidRDefault="00044399" w:rsidP="00671BE5">
            <w:pPr>
              <w:spacing w:before="60" w:after="60"/>
              <w:rPr>
                <w:rFonts w:ascii="Arial" w:eastAsia="Calibri" w:hAnsi="Arial" w:cs="Arial"/>
                <w:sz w:val="20"/>
                <w:szCs w:val="20"/>
                <w:lang w:val="en-GB"/>
              </w:rPr>
            </w:pPr>
            <w:r w:rsidRPr="00671BE5">
              <w:rPr>
                <w:rFonts w:ascii="Arial" w:eastAsia="Calibri" w:hAnsi="Arial" w:cs="Arial"/>
                <w:sz w:val="20"/>
                <w:szCs w:val="20"/>
                <w:lang w:val="en-GB"/>
              </w:rPr>
              <w:t>Up to 200 mW</w:t>
            </w:r>
          </w:p>
        </w:tc>
      </w:tr>
      <w:tr w:rsidR="00A05360" w:rsidRPr="0055548E" w14:paraId="619ABE2B" w14:textId="77777777" w:rsidTr="005F4E02">
        <w:tc>
          <w:tcPr>
            <w:tcW w:w="814" w:type="pct"/>
            <w:tcBorders>
              <w:top w:val="single" w:sz="4" w:space="0" w:color="D2232A"/>
              <w:left w:val="single" w:sz="4" w:space="0" w:color="D2232A"/>
              <w:bottom w:val="single" w:sz="4" w:space="0" w:color="D2232A"/>
              <w:right w:val="single" w:sz="4" w:space="0" w:color="D2232A"/>
            </w:tcBorders>
          </w:tcPr>
          <w:p w14:paraId="3C8785C8" w14:textId="54F84D51" w:rsidR="00B914BC" w:rsidRPr="00671BE5" w:rsidRDefault="00B914BC" w:rsidP="00671BE5">
            <w:pPr>
              <w:spacing w:before="60" w:after="60"/>
              <w:rPr>
                <w:rFonts w:ascii="Arial" w:eastAsia="Calibri" w:hAnsi="Arial" w:cs="Arial"/>
                <w:sz w:val="20"/>
                <w:szCs w:val="20"/>
                <w:lang w:val="en-GB"/>
              </w:rPr>
            </w:pPr>
            <w:r w:rsidRPr="00671BE5">
              <w:rPr>
                <w:rFonts w:ascii="Arial" w:eastAsia="Calibri" w:hAnsi="Arial" w:cs="Arial"/>
                <w:sz w:val="20"/>
                <w:szCs w:val="20"/>
                <w:lang w:val="en-GB"/>
              </w:rPr>
              <w:t>5250</w:t>
            </w:r>
            <w:r w:rsidR="000864E7" w:rsidRPr="00671BE5">
              <w:rPr>
                <w:rFonts w:ascii="Arial" w:eastAsia="Calibri" w:hAnsi="Arial" w:cs="Arial"/>
                <w:sz w:val="20"/>
                <w:szCs w:val="20"/>
                <w:lang w:val="en-GB"/>
              </w:rPr>
              <w:t>-</w:t>
            </w:r>
            <w:r w:rsidRPr="00671BE5">
              <w:rPr>
                <w:rFonts w:ascii="Arial" w:eastAsia="Calibri" w:hAnsi="Arial" w:cs="Arial"/>
                <w:sz w:val="20"/>
                <w:szCs w:val="20"/>
                <w:lang w:val="en-GB"/>
              </w:rPr>
              <w:t>5350 MHz</w:t>
            </w:r>
          </w:p>
        </w:tc>
        <w:tc>
          <w:tcPr>
            <w:tcW w:w="652" w:type="pct"/>
            <w:tcBorders>
              <w:top w:val="single" w:sz="4" w:space="0" w:color="D2232A"/>
              <w:left w:val="single" w:sz="4" w:space="0" w:color="D2232A"/>
              <w:bottom w:val="single" w:sz="4" w:space="0" w:color="D2232A"/>
              <w:right w:val="single" w:sz="4" w:space="0" w:color="D2232A"/>
            </w:tcBorders>
          </w:tcPr>
          <w:p w14:paraId="36241B08" w14:textId="73FB68EB" w:rsidR="00931C33" w:rsidRPr="00671BE5" w:rsidRDefault="00B914BC" w:rsidP="00671BE5">
            <w:pPr>
              <w:spacing w:before="60" w:after="60"/>
              <w:rPr>
                <w:rFonts w:ascii="Arial" w:eastAsia="Calibri" w:hAnsi="Arial" w:cs="Arial"/>
                <w:b/>
                <w:sz w:val="20"/>
                <w:szCs w:val="20"/>
                <w:lang w:val="en-GB"/>
              </w:rPr>
            </w:pPr>
            <w:r w:rsidRPr="00671BE5">
              <w:rPr>
                <w:rFonts w:ascii="Arial" w:eastAsia="Calibri" w:hAnsi="Arial" w:cs="Arial"/>
                <w:b/>
                <w:sz w:val="20"/>
                <w:szCs w:val="20"/>
                <w:lang w:val="en-GB"/>
              </w:rPr>
              <w:t>NO</w:t>
            </w:r>
          </w:p>
        </w:tc>
        <w:tc>
          <w:tcPr>
            <w:tcW w:w="1345" w:type="pct"/>
            <w:vMerge/>
            <w:tcBorders>
              <w:top w:val="single" w:sz="4" w:space="0" w:color="D2232A"/>
              <w:left w:val="single" w:sz="4" w:space="0" w:color="D2232A"/>
              <w:bottom w:val="single" w:sz="4" w:space="0" w:color="D2232A"/>
              <w:right w:val="single" w:sz="4" w:space="0" w:color="D2232A"/>
            </w:tcBorders>
          </w:tcPr>
          <w:p w14:paraId="222DBF6D" w14:textId="77777777" w:rsidR="00B914BC" w:rsidRPr="00671BE5" w:rsidRDefault="00B914BC" w:rsidP="00671BE5">
            <w:pPr>
              <w:spacing w:before="60" w:after="60"/>
              <w:rPr>
                <w:rFonts w:ascii="Arial" w:eastAsia="Calibri" w:hAnsi="Arial" w:cs="Arial"/>
                <w:sz w:val="20"/>
                <w:szCs w:val="20"/>
                <w:lang w:val="en-GB"/>
              </w:rPr>
            </w:pPr>
          </w:p>
        </w:tc>
        <w:tc>
          <w:tcPr>
            <w:tcW w:w="2189" w:type="pct"/>
            <w:tcBorders>
              <w:top w:val="single" w:sz="4" w:space="0" w:color="D2232A"/>
              <w:left w:val="single" w:sz="4" w:space="0" w:color="D2232A"/>
              <w:bottom w:val="single" w:sz="4" w:space="0" w:color="D2232A"/>
              <w:right w:val="single" w:sz="4" w:space="0" w:color="D2232A"/>
            </w:tcBorders>
          </w:tcPr>
          <w:p w14:paraId="43037EB9" w14:textId="60567731" w:rsidR="00931C33" w:rsidRPr="00671BE5" w:rsidRDefault="00931C33" w:rsidP="00671BE5">
            <w:pPr>
              <w:spacing w:before="60" w:after="60"/>
              <w:rPr>
                <w:rFonts w:ascii="Arial" w:eastAsia="Calibri" w:hAnsi="Arial" w:cs="Arial"/>
                <w:b/>
                <w:sz w:val="20"/>
                <w:szCs w:val="20"/>
                <w:lang w:val="en-GB"/>
              </w:rPr>
            </w:pPr>
            <w:r w:rsidRPr="00671BE5">
              <w:rPr>
                <w:rFonts w:ascii="Arial" w:eastAsia="Calibri" w:hAnsi="Arial" w:cs="Arial"/>
                <w:b/>
                <w:sz w:val="20"/>
                <w:szCs w:val="20"/>
                <w:lang w:val="en-GB"/>
              </w:rPr>
              <w:t>Not possible because of indoor restriction</w:t>
            </w:r>
          </w:p>
          <w:p w14:paraId="501570F1" w14:textId="7C5A7670" w:rsidR="00B914BC" w:rsidRPr="00671BE5" w:rsidRDefault="000864E7" w:rsidP="00671BE5">
            <w:pPr>
              <w:spacing w:before="60" w:after="60"/>
              <w:rPr>
                <w:rFonts w:ascii="Arial" w:eastAsia="Calibri" w:hAnsi="Arial" w:cs="Arial"/>
                <w:b/>
                <w:sz w:val="20"/>
                <w:szCs w:val="20"/>
                <w:lang w:val="en-GB"/>
              </w:rPr>
            </w:pPr>
            <w:r w:rsidRPr="00671BE5">
              <w:rPr>
                <w:rFonts w:ascii="Arial" w:eastAsia="Calibri" w:hAnsi="Arial" w:cs="Arial"/>
                <w:b/>
                <w:sz w:val="20"/>
                <w:szCs w:val="20"/>
                <w:lang w:val="en-GB"/>
              </w:rPr>
              <w:t xml:space="preserve">+ </w:t>
            </w:r>
            <w:r w:rsidR="00B914BC" w:rsidRPr="00671BE5">
              <w:rPr>
                <w:rFonts w:ascii="Arial" w:eastAsia="Calibri" w:hAnsi="Arial" w:cs="Arial"/>
                <w:b/>
                <w:sz w:val="20"/>
                <w:szCs w:val="20"/>
                <w:lang w:val="en-GB"/>
              </w:rPr>
              <w:t>Operation while in motion may not allow a proper application of the DFS mechanism</w:t>
            </w:r>
            <w:r w:rsidR="002A3BDC" w:rsidRPr="00671BE5">
              <w:rPr>
                <w:rFonts w:ascii="Arial" w:eastAsia="Calibri" w:hAnsi="Arial" w:cs="Arial"/>
                <w:b/>
                <w:sz w:val="20"/>
                <w:szCs w:val="20"/>
                <w:lang w:val="en-GB"/>
              </w:rPr>
              <w:t xml:space="preserve"> (see also Section 2)</w:t>
            </w:r>
          </w:p>
        </w:tc>
      </w:tr>
      <w:tr w:rsidR="00A05360" w:rsidRPr="0055548E" w14:paraId="6FDDD023" w14:textId="77777777" w:rsidTr="005F4E02">
        <w:tc>
          <w:tcPr>
            <w:tcW w:w="814" w:type="pct"/>
            <w:tcBorders>
              <w:top w:val="single" w:sz="4" w:space="0" w:color="D2232A"/>
              <w:left w:val="single" w:sz="4" w:space="0" w:color="D2232A"/>
              <w:bottom w:val="single" w:sz="4" w:space="0" w:color="D2232A"/>
              <w:right w:val="single" w:sz="4" w:space="0" w:color="D2232A"/>
            </w:tcBorders>
          </w:tcPr>
          <w:p w14:paraId="087E51B0" w14:textId="24555711" w:rsidR="00B914BC" w:rsidRPr="00671BE5" w:rsidRDefault="00B914BC" w:rsidP="00671BE5">
            <w:pPr>
              <w:spacing w:before="60" w:after="60"/>
              <w:rPr>
                <w:rFonts w:ascii="Arial" w:eastAsia="Calibri" w:hAnsi="Arial" w:cs="Arial"/>
                <w:sz w:val="20"/>
                <w:szCs w:val="20"/>
                <w:lang w:val="en-GB"/>
              </w:rPr>
            </w:pPr>
            <w:r w:rsidRPr="00671BE5">
              <w:rPr>
                <w:rFonts w:ascii="Arial" w:eastAsia="Calibri" w:hAnsi="Arial" w:cs="Arial"/>
                <w:sz w:val="20"/>
                <w:szCs w:val="20"/>
                <w:lang w:val="en-GB"/>
              </w:rPr>
              <w:t>5470-5725 MHz</w:t>
            </w:r>
          </w:p>
        </w:tc>
        <w:tc>
          <w:tcPr>
            <w:tcW w:w="652" w:type="pct"/>
            <w:tcBorders>
              <w:top w:val="single" w:sz="4" w:space="0" w:color="D2232A"/>
              <w:left w:val="single" w:sz="4" w:space="0" w:color="D2232A"/>
              <w:bottom w:val="single" w:sz="4" w:space="0" w:color="D2232A"/>
              <w:right w:val="single" w:sz="4" w:space="0" w:color="D2232A"/>
            </w:tcBorders>
          </w:tcPr>
          <w:p w14:paraId="71108D26" w14:textId="41A1B722" w:rsidR="00931C33" w:rsidRPr="00671BE5" w:rsidRDefault="00B914BC" w:rsidP="00671BE5">
            <w:pPr>
              <w:spacing w:before="60" w:after="60"/>
              <w:rPr>
                <w:rFonts w:ascii="Arial" w:eastAsia="Calibri" w:hAnsi="Arial" w:cs="Arial"/>
                <w:sz w:val="20"/>
                <w:szCs w:val="20"/>
                <w:lang w:val="en-GB"/>
              </w:rPr>
            </w:pPr>
            <w:r w:rsidRPr="00671BE5">
              <w:rPr>
                <w:rFonts w:ascii="Arial" w:eastAsia="Calibri" w:hAnsi="Arial" w:cs="Arial"/>
                <w:b/>
                <w:sz w:val="20"/>
                <w:szCs w:val="20"/>
                <w:lang w:val="en-GB"/>
              </w:rPr>
              <w:t>NO</w:t>
            </w:r>
          </w:p>
        </w:tc>
        <w:tc>
          <w:tcPr>
            <w:tcW w:w="1345" w:type="pct"/>
            <w:vMerge/>
            <w:tcBorders>
              <w:top w:val="single" w:sz="4" w:space="0" w:color="D2232A"/>
              <w:left w:val="single" w:sz="4" w:space="0" w:color="D2232A"/>
              <w:bottom w:val="single" w:sz="4" w:space="0" w:color="D2232A"/>
              <w:right w:val="single" w:sz="4" w:space="0" w:color="D2232A"/>
            </w:tcBorders>
          </w:tcPr>
          <w:p w14:paraId="2303DE32" w14:textId="77777777" w:rsidR="00B914BC" w:rsidRPr="00671BE5" w:rsidRDefault="00B914BC" w:rsidP="00671BE5">
            <w:pPr>
              <w:spacing w:before="60" w:after="60"/>
              <w:rPr>
                <w:rFonts w:ascii="Arial" w:eastAsia="Calibri" w:hAnsi="Arial" w:cs="Arial"/>
                <w:sz w:val="20"/>
                <w:szCs w:val="20"/>
                <w:lang w:val="en-GB"/>
              </w:rPr>
            </w:pPr>
          </w:p>
        </w:tc>
        <w:tc>
          <w:tcPr>
            <w:tcW w:w="2189" w:type="pct"/>
            <w:tcBorders>
              <w:top w:val="single" w:sz="4" w:space="0" w:color="D2232A"/>
              <w:left w:val="single" w:sz="4" w:space="0" w:color="D2232A"/>
              <w:bottom w:val="single" w:sz="4" w:space="0" w:color="D2232A"/>
              <w:right w:val="single" w:sz="4" w:space="0" w:color="D2232A"/>
            </w:tcBorders>
          </w:tcPr>
          <w:p w14:paraId="666FF383" w14:textId="357E9788" w:rsidR="00B914BC" w:rsidRPr="00671BE5" w:rsidRDefault="00B914BC" w:rsidP="00671BE5">
            <w:pPr>
              <w:spacing w:before="60" w:after="60"/>
              <w:rPr>
                <w:rFonts w:ascii="Arial" w:eastAsia="Calibri" w:hAnsi="Arial" w:cs="Arial"/>
                <w:b/>
                <w:sz w:val="20"/>
                <w:szCs w:val="20"/>
                <w:lang w:val="en-GB"/>
              </w:rPr>
            </w:pPr>
            <w:r w:rsidRPr="00671BE5">
              <w:rPr>
                <w:rFonts w:ascii="Arial" w:eastAsia="Calibri" w:hAnsi="Arial" w:cs="Arial"/>
                <w:b/>
                <w:sz w:val="20"/>
                <w:szCs w:val="20"/>
                <w:lang w:val="en-GB"/>
              </w:rPr>
              <w:t>Operation while in motion may not allow a proper application of the DFS mechanism</w:t>
            </w:r>
            <w:r w:rsidR="002A3BDC" w:rsidRPr="00671BE5">
              <w:rPr>
                <w:rFonts w:ascii="Arial" w:eastAsia="Calibri" w:hAnsi="Arial" w:cs="Arial"/>
                <w:b/>
                <w:sz w:val="20"/>
                <w:szCs w:val="20"/>
                <w:lang w:val="en-GB"/>
              </w:rPr>
              <w:t xml:space="preserve"> (see also Section 2)</w:t>
            </w:r>
          </w:p>
        </w:tc>
      </w:tr>
    </w:tbl>
    <w:p w14:paraId="7790A4FB" w14:textId="3FB46B76" w:rsidR="006C3970" w:rsidRPr="00D5569C" w:rsidRDefault="006C3970" w:rsidP="00671BE5">
      <w:pPr>
        <w:spacing w:before="240" w:after="240" w:line="240" w:lineRule="auto"/>
        <w:jc w:val="center"/>
        <w:rPr>
          <w:rFonts w:ascii="Arial" w:eastAsia="Times New Roman" w:hAnsi="Arial" w:cs="Arial"/>
          <w:b/>
          <w:bCs/>
          <w:color w:val="D2232A"/>
          <w:sz w:val="20"/>
          <w:szCs w:val="20"/>
          <w:lang w:val="en-GB"/>
        </w:rPr>
      </w:pPr>
      <w:r w:rsidRPr="00D5569C">
        <w:rPr>
          <w:rFonts w:ascii="Arial" w:hAnsi="Arial" w:cs="Arial"/>
          <w:b/>
          <w:bCs/>
          <w:color w:val="D2232A"/>
          <w:sz w:val="20"/>
          <w:szCs w:val="20"/>
        </w:rPr>
        <w:t xml:space="preserve">Table </w:t>
      </w:r>
      <w:r w:rsidRPr="00D5569C">
        <w:rPr>
          <w:rFonts w:ascii="Arial" w:hAnsi="Arial" w:cs="Arial"/>
          <w:b/>
          <w:bCs/>
          <w:color w:val="D2232A"/>
          <w:sz w:val="20"/>
          <w:szCs w:val="20"/>
        </w:rPr>
        <w:fldChar w:fldCharType="begin"/>
      </w:r>
      <w:r w:rsidRPr="00D5569C">
        <w:rPr>
          <w:rFonts w:ascii="Arial" w:hAnsi="Arial" w:cs="Arial"/>
          <w:b/>
          <w:bCs/>
          <w:color w:val="D2232A"/>
          <w:sz w:val="20"/>
          <w:szCs w:val="20"/>
        </w:rPr>
        <w:instrText xml:space="preserve"> SEQ Table \* ARABIC </w:instrText>
      </w:r>
      <w:r w:rsidRPr="00D5569C">
        <w:rPr>
          <w:rFonts w:ascii="Arial" w:hAnsi="Arial" w:cs="Arial"/>
          <w:b/>
          <w:bCs/>
          <w:color w:val="D2232A"/>
          <w:sz w:val="20"/>
          <w:szCs w:val="20"/>
        </w:rPr>
        <w:fldChar w:fldCharType="separate"/>
      </w:r>
      <w:r w:rsidRPr="00D5569C">
        <w:rPr>
          <w:rFonts w:ascii="Arial" w:hAnsi="Arial" w:cs="Arial"/>
          <w:b/>
          <w:bCs/>
          <w:noProof/>
          <w:color w:val="D2232A"/>
          <w:sz w:val="20"/>
          <w:szCs w:val="20"/>
        </w:rPr>
        <w:t>1</w:t>
      </w:r>
      <w:r w:rsidRPr="00D5569C">
        <w:rPr>
          <w:rFonts w:ascii="Arial" w:hAnsi="Arial" w:cs="Arial"/>
          <w:b/>
          <w:bCs/>
          <w:color w:val="D2232A"/>
          <w:sz w:val="20"/>
          <w:szCs w:val="20"/>
        </w:rPr>
        <w:fldChar w:fldCharType="end"/>
      </w:r>
      <w:r w:rsidRPr="00D5569C">
        <w:rPr>
          <w:rFonts w:ascii="Arial" w:hAnsi="Arial" w:cs="Arial"/>
          <w:b/>
          <w:bCs/>
          <w:color w:val="D2232A"/>
          <w:sz w:val="20"/>
          <w:szCs w:val="20"/>
        </w:rPr>
        <w:t xml:space="preserve">: </w:t>
      </w:r>
      <w:r w:rsidRPr="00D5569C">
        <w:rPr>
          <w:rFonts w:ascii="Arial" w:eastAsia="Times New Roman" w:hAnsi="Arial" w:cs="Arial"/>
          <w:b/>
          <w:bCs/>
          <w:color w:val="D2232A"/>
          <w:sz w:val="20"/>
          <w:szCs w:val="20"/>
          <w:lang w:val="en-GB"/>
        </w:rPr>
        <w:t xml:space="preserve">Summary </w:t>
      </w:r>
      <w:r w:rsidR="004D1413">
        <w:rPr>
          <w:rFonts w:ascii="Arial" w:eastAsia="Times New Roman" w:hAnsi="Arial" w:cs="Arial"/>
          <w:b/>
          <w:bCs/>
          <w:color w:val="D2232A"/>
          <w:sz w:val="20"/>
          <w:szCs w:val="20"/>
          <w:lang w:val="en-GB"/>
        </w:rPr>
        <w:t>t</w:t>
      </w:r>
      <w:r w:rsidRPr="00D5569C">
        <w:rPr>
          <w:rFonts w:ascii="Arial" w:eastAsia="Times New Roman" w:hAnsi="Arial" w:cs="Arial"/>
          <w:b/>
          <w:bCs/>
          <w:color w:val="D2232A"/>
          <w:sz w:val="20"/>
          <w:szCs w:val="20"/>
          <w:lang w:val="en-GB"/>
        </w:rPr>
        <w:t>able</w:t>
      </w:r>
    </w:p>
    <w:p w14:paraId="6DE51D4E" w14:textId="1E299327" w:rsidR="008F2F37" w:rsidRPr="00282B40" w:rsidRDefault="008F2F37" w:rsidP="00E81E0B">
      <w:pPr>
        <w:jc w:val="center"/>
        <w:rPr>
          <w:rFonts w:ascii="Arial" w:eastAsia="Times New Roman" w:hAnsi="Arial" w:cs="Arial"/>
          <w:b/>
          <w:bCs/>
          <w:color w:val="365F91"/>
          <w:sz w:val="28"/>
          <w:szCs w:val="28"/>
          <w:lang w:val="en-GB"/>
        </w:rPr>
      </w:pPr>
    </w:p>
    <w:sectPr w:rsidR="008F2F37" w:rsidRPr="00282B40" w:rsidSect="00A12916">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CF909" w14:textId="77777777" w:rsidR="0087523A" w:rsidRDefault="0087523A" w:rsidP="00606D78">
      <w:pPr>
        <w:spacing w:after="0" w:line="240" w:lineRule="auto"/>
      </w:pPr>
      <w:r>
        <w:separator/>
      </w:r>
    </w:p>
  </w:endnote>
  <w:endnote w:type="continuationSeparator" w:id="0">
    <w:p w14:paraId="7FBF42D8" w14:textId="77777777" w:rsidR="0087523A" w:rsidRDefault="0087523A" w:rsidP="0060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1111" w14:textId="77777777" w:rsidR="0087523A" w:rsidRDefault="0087523A" w:rsidP="00606D78">
      <w:pPr>
        <w:spacing w:after="0" w:line="240" w:lineRule="auto"/>
      </w:pPr>
      <w:r>
        <w:separator/>
      </w:r>
    </w:p>
  </w:footnote>
  <w:footnote w:type="continuationSeparator" w:id="0">
    <w:p w14:paraId="0977BD61" w14:textId="77777777" w:rsidR="0087523A" w:rsidRDefault="0087523A" w:rsidP="00606D78">
      <w:pPr>
        <w:spacing w:after="0" w:line="240" w:lineRule="auto"/>
      </w:pPr>
      <w:r>
        <w:continuationSeparator/>
      </w:r>
    </w:p>
  </w:footnote>
  <w:footnote w:id="1">
    <w:p w14:paraId="706BBD15" w14:textId="4D8CCB80" w:rsidR="00606D78" w:rsidRPr="00A67A2E" w:rsidRDefault="00606D78" w:rsidP="00606D78">
      <w:pPr>
        <w:pStyle w:val="FootnoteText"/>
        <w:rPr>
          <w:rFonts w:ascii="Arial" w:hAnsi="Arial" w:cs="Arial"/>
          <w:lang w:val="en-GB"/>
        </w:rPr>
      </w:pPr>
      <w:r w:rsidRPr="00A67A2E">
        <w:rPr>
          <w:rStyle w:val="FootnoteReference"/>
          <w:rFonts w:ascii="Arial" w:hAnsi="Arial" w:cs="Arial"/>
          <w:lang w:val="en-GB"/>
        </w:rPr>
        <w:footnoteRef/>
      </w:r>
      <w:r w:rsidRPr="00A67A2E">
        <w:rPr>
          <w:rFonts w:ascii="Arial" w:hAnsi="Arial" w:cs="Arial"/>
          <w:lang w:val="en-GB"/>
        </w:rPr>
        <w:t xml:space="preserve"> </w:t>
      </w:r>
      <w:hyperlink r:id="rId1" w:history="1">
        <w:r w:rsidR="00BD17DC" w:rsidRPr="00A67A2E">
          <w:rPr>
            <w:rStyle w:val="Hyperlink"/>
            <w:rFonts w:ascii="Arial" w:hAnsi="Arial" w:cs="Arial"/>
          </w:rPr>
          <w:t>ERC Recommendation 70-03</w:t>
        </w:r>
      </w:hyperlink>
      <w:r w:rsidRPr="00A67A2E">
        <w:rPr>
          <w:rFonts w:ascii="Arial" w:hAnsi="Arial" w:cs="Arial"/>
          <w:lang w:val="en-GB"/>
        </w:rPr>
        <w:t xml:space="preserve"> refers to this explanatory paper in the introduction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6F70" w14:textId="4C6E0EA9" w:rsidR="00A14E4C" w:rsidRPr="00F2190A" w:rsidRDefault="006005BD" w:rsidP="00F2190A">
    <w:pPr>
      <w:pStyle w:val="Header"/>
      <w:jc w:val="right"/>
      <w:rPr>
        <w:rFonts w:ascii="Arial" w:hAnsi="Arial" w:cs="Arial"/>
        <w:b/>
        <w:lang w:val="en-GB"/>
      </w:rPr>
    </w:pPr>
    <w:r w:rsidRPr="00F2190A">
      <w:rPr>
        <w:rFonts w:ascii="Arial" w:hAnsi="Arial" w:cs="Arial"/>
        <w:b/>
        <w:lang w:val="en-GB"/>
      </w:rPr>
      <w:t>FM(23)034Annex32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8686D"/>
    <w:multiLevelType w:val="hybridMultilevel"/>
    <w:tmpl w:val="DA4EA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47302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FA8"/>
    <w:rsid w:val="00013006"/>
    <w:rsid w:val="00030B68"/>
    <w:rsid w:val="00044399"/>
    <w:rsid w:val="000446B3"/>
    <w:rsid w:val="0005190D"/>
    <w:rsid w:val="00054B46"/>
    <w:rsid w:val="000576EA"/>
    <w:rsid w:val="00066583"/>
    <w:rsid w:val="000864E7"/>
    <w:rsid w:val="00097DCD"/>
    <w:rsid w:val="000D4955"/>
    <w:rsid w:val="000E03B0"/>
    <w:rsid w:val="000F3630"/>
    <w:rsid w:val="0012288E"/>
    <w:rsid w:val="00141015"/>
    <w:rsid w:val="00165D0E"/>
    <w:rsid w:val="00186DCB"/>
    <w:rsid w:val="001B16E3"/>
    <w:rsid w:val="001D0F89"/>
    <w:rsid w:val="001D6B86"/>
    <w:rsid w:val="001F3434"/>
    <w:rsid w:val="00282B40"/>
    <w:rsid w:val="00286714"/>
    <w:rsid w:val="002A3BDC"/>
    <w:rsid w:val="002C78CE"/>
    <w:rsid w:val="003039E7"/>
    <w:rsid w:val="003066BE"/>
    <w:rsid w:val="00332706"/>
    <w:rsid w:val="00380D9B"/>
    <w:rsid w:val="0039545A"/>
    <w:rsid w:val="003A5E32"/>
    <w:rsid w:val="003B5106"/>
    <w:rsid w:val="003C54FA"/>
    <w:rsid w:val="003D7844"/>
    <w:rsid w:val="003E683C"/>
    <w:rsid w:val="004308E0"/>
    <w:rsid w:val="00466497"/>
    <w:rsid w:val="00477FBB"/>
    <w:rsid w:val="00492978"/>
    <w:rsid w:val="004D1413"/>
    <w:rsid w:val="004E1EA1"/>
    <w:rsid w:val="00502B6A"/>
    <w:rsid w:val="00520AF0"/>
    <w:rsid w:val="0052583B"/>
    <w:rsid w:val="00546695"/>
    <w:rsid w:val="0055548E"/>
    <w:rsid w:val="00563B3A"/>
    <w:rsid w:val="00570985"/>
    <w:rsid w:val="005841CD"/>
    <w:rsid w:val="005F4E02"/>
    <w:rsid w:val="006005BD"/>
    <w:rsid w:val="00603A6F"/>
    <w:rsid w:val="00606D78"/>
    <w:rsid w:val="006115BA"/>
    <w:rsid w:val="00611791"/>
    <w:rsid w:val="006154A9"/>
    <w:rsid w:val="00627B8A"/>
    <w:rsid w:val="006415ED"/>
    <w:rsid w:val="00656867"/>
    <w:rsid w:val="006652BD"/>
    <w:rsid w:val="00671BE5"/>
    <w:rsid w:val="00672975"/>
    <w:rsid w:val="006842A4"/>
    <w:rsid w:val="006863CB"/>
    <w:rsid w:val="006A086A"/>
    <w:rsid w:val="006C3970"/>
    <w:rsid w:val="006D6781"/>
    <w:rsid w:val="007104A8"/>
    <w:rsid w:val="007477F1"/>
    <w:rsid w:val="007736E2"/>
    <w:rsid w:val="00784E04"/>
    <w:rsid w:val="00787383"/>
    <w:rsid w:val="0079023D"/>
    <w:rsid w:val="007B69DA"/>
    <w:rsid w:val="007C6AEB"/>
    <w:rsid w:val="00832F65"/>
    <w:rsid w:val="0084582A"/>
    <w:rsid w:val="00854F3A"/>
    <w:rsid w:val="00857C8B"/>
    <w:rsid w:val="00861188"/>
    <w:rsid w:val="0087523A"/>
    <w:rsid w:val="00876699"/>
    <w:rsid w:val="008A5B64"/>
    <w:rsid w:val="008B4ED6"/>
    <w:rsid w:val="008C0670"/>
    <w:rsid w:val="008D7631"/>
    <w:rsid w:val="008F2F37"/>
    <w:rsid w:val="00931C33"/>
    <w:rsid w:val="00990AF0"/>
    <w:rsid w:val="00996ECE"/>
    <w:rsid w:val="009A0D65"/>
    <w:rsid w:val="009C1D1F"/>
    <w:rsid w:val="00A04974"/>
    <w:rsid w:val="00A05360"/>
    <w:rsid w:val="00A12916"/>
    <w:rsid w:val="00A14E4C"/>
    <w:rsid w:val="00A40FAB"/>
    <w:rsid w:val="00A547F0"/>
    <w:rsid w:val="00A60FA8"/>
    <w:rsid w:val="00A67A2E"/>
    <w:rsid w:val="00A720C8"/>
    <w:rsid w:val="00B24FF7"/>
    <w:rsid w:val="00B35C3F"/>
    <w:rsid w:val="00B63637"/>
    <w:rsid w:val="00B84CEB"/>
    <w:rsid w:val="00B914BC"/>
    <w:rsid w:val="00B93DD2"/>
    <w:rsid w:val="00BB0031"/>
    <w:rsid w:val="00BB6E63"/>
    <w:rsid w:val="00BD17DC"/>
    <w:rsid w:val="00BE3BB9"/>
    <w:rsid w:val="00C04189"/>
    <w:rsid w:val="00C43C91"/>
    <w:rsid w:val="00C75E54"/>
    <w:rsid w:val="00CE791B"/>
    <w:rsid w:val="00D3257D"/>
    <w:rsid w:val="00D358C5"/>
    <w:rsid w:val="00D54EBA"/>
    <w:rsid w:val="00D5569C"/>
    <w:rsid w:val="00D80BD0"/>
    <w:rsid w:val="00DE0296"/>
    <w:rsid w:val="00E153CA"/>
    <w:rsid w:val="00E40FD4"/>
    <w:rsid w:val="00E81E0B"/>
    <w:rsid w:val="00E85D6F"/>
    <w:rsid w:val="00EB3EA9"/>
    <w:rsid w:val="00EE677C"/>
    <w:rsid w:val="00F16ABC"/>
    <w:rsid w:val="00F2190A"/>
    <w:rsid w:val="00F26E1D"/>
    <w:rsid w:val="00F46EF3"/>
    <w:rsid w:val="00F63041"/>
    <w:rsid w:val="00FA1BCE"/>
    <w:rsid w:val="00FE6F79"/>
    <w:rsid w:val="00FF33BE"/>
    <w:rsid w:val="00FF49D3"/>
    <w:rsid w:val="00FF5372"/>
    <w:rsid w:val="00FF5B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4A800"/>
  <w15:docId w15:val="{91AE1F7A-A735-4C7F-AE66-031B7A2E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29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06D78"/>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606D78"/>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606D78"/>
    <w:rPr>
      <w:vertAlign w:val="superscript"/>
    </w:rPr>
  </w:style>
  <w:style w:type="character" w:styleId="Hyperlink">
    <w:name w:val="Hyperlink"/>
    <w:basedOn w:val="DefaultParagraphFont"/>
    <w:uiPriority w:val="99"/>
    <w:unhideWhenUsed/>
    <w:rsid w:val="00D80BD0"/>
    <w:rPr>
      <w:color w:val="0000FF" w:themeColor="hyperlink"/>
      <w:u w:val="single"/>
    </w:rPr>
  </w:style>
  <w:style w:type="character" w:styleId="CommentReference">
    <w:name w:val="annotation reference"/>
    <w:basedOn w:val="DefaultParagraphFont"/>
    <w:uiPriority w:val="99"/>
    <w:semiHidden/>
    <w:unhideWhenUsed/>
    <w:rsid w:val="00B914BC"/>
    <w:rPr>
      <w:sz w:val="16"/>
      <w:szCs w:val="16"/>
    </w:rPr>
  </w:style>
  <w:style w:type="paragraph" w:styleId="CommentText">
    <w:name w:val="annotation text"/>
    <w:basedOn w:val="Normal"/>
    <w:link w:val="CommentTextChar"/>
    <w:uiPriority w:val="99"/>
    <w:unhideWhenUsed/>
    <w:rsid w:val="00B914BC"/>
    <w:pPr>
      <w:spacing w:line="240" w:lineRule="auto"/>
    </w:pPr>
    <w:rPr>
      <w:sz w:val="20"/>
      <w:szCs w:val="20"/>
    </w:rPr>
  </w:style>
  <w:style w:type="character" w:customStyle="1" w:styleId="CommentTextChar">
    <w:name w:val="Comment Text Char"/>
    <w:basedOn w:val="DefaultParagraphFont"/>
    <w:link w:val="CommentText"/>
    <w:uiPriority w:val="99"/>
    <w:rsid w:val="00B914BC"/>
    <w:rPr>
      <w:sz w:val="20"/>
      <w:szCs w:val="20"/>
    </w:rPr>
  </w:style>
  <w:style w:type="paragraph" w:styleId="CommentSubject">
    <w:name w:val="annotation subject"/>
    <w:basedOn w:val="CommentText"/>
    <w:next w:val="CommentText"/>
    <w:link w:val="CommentSubjectChar"/>
    <w:uiPriority w:val="99"/>
    <w:semiHidden/>
    <w:unhideWhenUsed/>
    <w:rsid w:val="00B914BC"/>
    <w:rPr>
      <w:b/>
      <w:bCs/>
    </w:rPr>
  </w:style>
  <w:style w:type="character" w:customStyle="1" w:styleId="CommentSubjectChar">
    <w:name w:val="Comment Subject Char"/>
    <w:basedOn w:val="CommentTextChar"/>
    <w:link w:val="CommentSubject"/>
    <w:uiPriority w:val="99"/>
    <w:semiHidden/>
    <w:rsid w:val="00B914BC"/>
    <w:rPr>
      <w:b/>
      <w:bCs/>
      <w:sz w:val="20"/>
      <w:szCs w:val="20"/>
    </w:rPr>
  </w:style>
  <w:style w:type="paragraph" w:styleId="BalloonText">
    <w:name w:val="Balloon Text"/>
    <w:basedOn w:val="Normal"/>
    <w:link w:val="BalloonTextChar"/>
    <w:uiPriority w:val="99"/>
    <w:semiHidden/>
    <w:unhideWhenUsed/>
    <w:rsid w:val="00B91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4BC"/>
    <w:rPr>
      <w:rFonts w:ascii="Tahoma" w:hAnsi="Tahoma" w:cs="Tahoma"/>
      <w:sz w:val="16"/>
      <w:szCs w:val="16"/>
    </w:rPr>
  </w:style>
  <w:style w:type="paragraph" w:styleId="Header">
    <w:name w:val="header"/>
    <w:basedOn w:val="Normal"/>
    <w:link w:val="HeaderChar"/>
    <w:uiPriority w:val="99"/>
    <w:unhideWhenUsed/>
    <w:rsid w:val="008F2F37"/>
    <w:pPr>
      <w:tabs>
        <w:tab w:val="center" w:pos="4819"/>
        <w:tab w:val="right" w:pos="9638"/>
      </w:tabs>
      <w:spacing w:after="0" w:line="240" w:lineRule="auto"/>
    </w:pPr>
  </w:style>
  <w:style w:type="character" w:customStyle="1" w:styleId="HeaderChar">
    <w:name w:val="Header Char"/>
    <w:basedOn w:val="DefaultParagraphFont"/>
    <w:link w:val="Header"/>
    <w:uiPriority w:val="99"/>
    <w:rsid w:val="008F2F37"/>
  </w:style>
  <w:style w:type="paragraph" w:styleId="Footer">
    <w:name w:val="footer"/>
    <w:basedOn w:val="Normal"/>
    <w:link w:val="FooterChar"/>
    <w:uiPriority w:val="99"/>
    <w:unhideWhenUsed/>
    <w:rsid w:val="008F2F37"/>
    <w:pPr>
      <w:tabs>
        <w:tab w:val="center" w:pos="4819"/>
        <w:tab w:val="right" w:pos="9638"/>
      </w:tabs>
      <w:spacing w:after="0" w:line="240" w:lineRule="auto"/>
    </w:pPr>
  </w:style>
  <w:style w:type="character" w:customStyle="1" w:styleId="FooterChar">
    <w:name w:val="Footer Char"/>
    <w:basedOn w:val="DefaultParagraphFont"/>
    <w:link w:val="Footer"/>
    <w:uiPriority w:val="99"/>
    <w:rsid w:val="008F2F37"/>
  </w:style>
  <w:style w:type="paragraph" w:styleId="ListParagraph">
    <w:name w:val="List Paragraph"/>
    <w:basedOn w:val="Normal"/>
    <w:uiPriority w:val="34"/>
    <w:qFormat/>
    <w:rsid w:val="003B5106"/>
    <w:pPr>
      <w:contextualSpacing/>
    </w:pPr>
  </w:style>
  <w:style w:type="paragraph" w:styleId="Revision">
    <w:name w:val="Revision"/>
    <w:hidden/>
    <w:uiPriority w:val="99"/>
    <w:semiHidden/>
    <w:rsid w:val="00282B40"/>
    <w:pPr>
      <w:spacing w:after="0" w:line="240" w:lineRule="auto"/>
    </w:pPr>
  </w:style>
  <w:style w:type="character" w:styleId="FollowedHyperlink">
    <w:name w:val="FollowedHyperlink"/>
    <w:basedOn w:val="DefaultParagraphFont"/>
    <w:uiPriority w:val="99"/>
    <w:semiHidden/>
    <w:unhideWhenUsed/>
    <w:rsid w:val="00044399"/>
    <w:rPr>
      <w:color w:val="800080" w:themeColor="followedHyperlink"/>
      <w:u w:val="single"/>
    </w:rPr>
  </w:style>
  <w:style w:type="character" w:styleId="UnresolvedMention">
    <w:name w:val="Unresolved Mention"/>
    <w:basedOn w:val="DefaultParagraphFont"/>
    <w:uiPriority w:val="99"/>
    <w:semiHidden/>
    <w:unhideWhenUsed/>
    <w:rsid w:val="0039545A"/>
    <w:rPr>
      <w:color w:val="605E5C"/>
      <w:shd w:val="clear" w:color="auto" w:fill="E1DFDD"/>
    </w:rPr>
  </w:style>
  <w:style w:type="paragraph" w:styleId="Caption">
    <w:name w:val="caption"/>
    <w:basedOn w:val="Normal"/>
    <w:next w:val="Normal"/>
    <w:uiPriority w:val="35"/>
    <w:unhideWhenUsed/>
    <w:qFormat/>
    <w:rsid w:val="006C3970"/>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28742">
      <w:bodyDiv w:val="1"/>
      <w:marLeft w:val="0"/>
      <w:marRight w:val="0"/>
      <w:marTop w:val="0"/>
      <w:marBottom w:val="0"/>
      <w:divBdr>
        <w:top w:val="none" w:sz="0" w:space="0" w:color="auto"/>
        <w:left w:val="none" w:sz="0" w:space="0" w:color="auto"/>
        <w:bottom w:val="none" w:sz="0" w:space="0" w:color="auto"/>
        <w:right w:val="none" w:sz="0" w:space="0" w:color="auto"/>
      </w:divBdr>
    </w:div>
    <w:div w:id="1274820960">
      <w:bodyDiv w:val="1"/>
      <w:marLeft w:val="0"/>
      <w:marRight w:val="0"/>
      <w:marTop w:val="0"/>
      <w:marBottom w:val="0"/>
      <w:divBdr>
        <w:top w:val="none" w:sz="0" w:space="0" w:color="auto"/>
        <w:left w:val="none" w:sz="0" w:space="0" w:color="auto"/>
        <w:bottom w:val="none" w:sz="0" w:space="0" w:color="auto"/>
        <w:right w:val="none" w:sz="0" w:space="0" w:color="auto"/>
      </w:divBdr>
    </w:div>
    <w:div w:id="14641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is.cept.org/adhoc_grabber.jsp?annex=4" TargetMode="External"/><Relationship Id="rId13" Type="http://schemas.openxmlformats.org/officeDocument/2006/relationships/hyperlink" Target="https://efis.cept.org/adhoc_grabber.jsp?annex=11" TargetMode="External"/><Relationship Id="rId18" Type="http://schemas.openxmlformats.org/officeDocument/2006/relationships/hyperlink" Target="https://efis.cept.org/sitecontent.jsp?sitecontent=RTTE_sub-classes" TargetMode="External"/><Relationship Id="rId26" Type="http://schemas.openxmlformats.org/officeDocument/2006/relationships/hyperlink" Target="https://docdb.cept.org/document/381" TargetMode="External"/><Relationship Id="rId3" Type="http://schemas.openxmlformats.org/officeDocument/2006/relationships/styles" Target="styles.xml"/><Relationship Id="rId21" Type="http://schemas.openxmlformats.org/officeDocument/2006/relationships/hyperlink" Target="https://docdb.cept.org/document/698" TargetMode="External"/><Relationship Id="rId7" Type="http://schemas.openxmlformats.org/officeDocument/2006/relationships/endnotes" Target="endnotes.xml"/><Relationship Id="rId12" Type="http://schemas.openxmlformats.org/officeDocument/2006/relationships/hyperlink" Target="https://docdb.cept.org/document/69" TargetMode="External"/><Relationship Id="rId17" Type="http://schemas.openxmlformats.org/officeDocument/2006/relationships/hyperlink" Target="https://docdb.cept.org/document/1034" TargetMode="External"/><Relationship Id="rId25" Type="http://schemas.openxmlformats.org/officeDocument/2006/relationships/hyperlink" Target="https://www.efis.dk/adhoc_grabber.jsp?annex=6" TargetMode="External"/><Relationship Id="rId2" Type="http://schemas.openxmlformats.org/officeDocument/2006/relationships/numbering" Target="numbering.xml"/><Relationship Id="rId16" Type="http://schemas.openxmlformats.org/officeDocument/2006/relationships/hyperlink" Target="https://docdb.cept.org/document/28581" TargetMode="External"/><Relationship Id="rId20" Type="http://schemas.openxmlformats.org/officeDocument/2006/relationships/hyperlink" Target="https://efis.cept.org/adhoc_grabber.jsp?annex=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fis.cept.org/sitecontent.jsp?sitecontent=srd_regulations" TargetMode="External"/><Relationship Id="rId24" Type="http://schemas.openxmlformats.org/officeDocument/2006/relationships/hyperlink" Target="https://efis.cept.org/adhoc_grabber.jsp?annex=6" TargetMode="External"/><Relationship Id="rId5" Type="http://schemas.openxmlformats.org/officeDocument/2006/relationships/webSettings" Target="webSettings.xml"/><Relationship Id="rId15" Type="http://schemas.openxmlformats.org/officeDocument/2006/relationships/hyperlink" Target="https://docdb.cept.org/document/26190" TargetMode="External"/><Relationship Id="rId23" Type="http://schemas.openxmlformats.org/officeDocument/2006/relationships/hyperlink" Target="https://efis.cept.org/adhoc_grabber.jsp?annex=4" TargetMode="External"/><Relationship Id="rId28" Type="http://schemas.openxmlformats.org/officeDocument/2006/relationships/theme" Target="theme/theme1.xml"/><Relationship Id="rId10" Type="http://schemas.openxmlformats.org/officeDocument/2006/relationships/hyperlink" Target="https://efis.cept.org/adhoc_grabber.jsp?annex=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fis.cept.org/adhoc_grabber.jsp?annex=6" TargetMode="External"/><Relationship Id="rId14" Type="http://schemas.openxmlformats.org/officeDocument/2006/relationships/hyperlink" Target="https://docdb.cept.org/document/381" TargetMode="External"/><Relationship Id="rId22" Type="http://schemas.openxmlformats.org/officeDocument/2006/relationships/hyperlink" Target="https://docdb.cept.org/document/699"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cdb.cept.org/document/8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E10DE-04A7-4983-AE80-A58DF4B43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820</Words>
  <Characters>4680</Characters>
  <Application>Microsoft Office Word</Application>
  <DocSecurity>0</DocSecurity>
  <Lines>39</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WGFM#90</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Weber</dc:creator>
  <cp:lastModifiedBy>ECO</cp:lastModifiedBy>
  <cp:revision>4</cp:revision>
  <dcterms:created xsi:type="dcterms:W3CDTF">2023-03-06T09:25:00Z</dcterms:created>
  <dcterms:modified xsi:type="dcterms:W3CDTF">2023-03-06T09:50:00Z</dcterms:modified>
  <cp:contentStatus>adopted by WGFM#90</cp:contentStatus>
</cp:coreProperties>
</file>