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A9F8B1" w14:textId="77777777" w:rsidR="00147F77" w:rsidRDefault="00147F77" w:rsidP="000F03A7">
      <w:pPr>
        <w:spacing w:afterLines="40" w:after="96" w:line="288" w:lineRule="auto"/>
        <w:ind w:firstLine="0"/>
        <w:rPr>
          <w:color w:val="000000"/>
        </w:rPr>
      </w:pPr>
    </w:p>
    <w:p w14:paraId="50B68301" w14:textId="77777777" w:rsidR="00E92A86" w:rsidRDefault="00611AC5" w:rsidP="00207008">
      <w:pPr>
        <w:spacing w:after="0" w:line="288" w:lineRule="auto"/>
        <w:ind w:firstLine="0"/>
        <w:rPr>
          <w:b/>
          <w:color w:val="000000"/>
        </w:rPr>
      </w:pPr>
      <w:r w:rsidRPr="0004777F">
        <w:rPr>
          <w:color w:val="000000"/>
        </w:rPr>
        <w:t>Pursuant to Article 39, paragraph 1 and Article 32, paragraph 3, in conjunction with Article 31 and</w:t>
      </w:r>
      <w:r w:rsidR="00EF647E" w:rsidRPr="0004777F">
        <w:rPr>
          <w:color w:val="000000"/>
        </w:rPr>
        <w:t xml:space="preserve"> Article 37, paragraph 1, items</w:t>
      </w:r>
      <w:r w:rsidRPr="0004777F">
        <w:rPr>
          <w:color w:val="000000"/>
        </w:rPr>
        <w:t xml:space="preserve"> a) and c) of the Law on Communications ('Official Gazette of BiH', No. 31/03, 75/06, 32/10 and 98/12) and Rule 49/2009 </w:t>
      </w:r>
      <w:r w:rsidR="0004777F" w:rsidRPr="0004777F">
        <w:rPr>
          <w:color w:val="000000"/>
        </w:rPr>
        <w:t>Allocation and Utilization P</w:t>
      </w:r>
      <w:r w:rsidR="00EF647E" w:rsidRPr="0004777F">
        <w:rPr>
          <w:color w:val="000000"/>
        </w:rPr>
        <w:t xml:space="preserve">lan for </w:t>
      </w:r>
      <w:r w:rsidRPr="0004777F">
        <w:rPr>
          <w:color w:val="000000"/>
        </w:rPr>
        <w:t xml:space="preserve">the Radio Frequency Spectrum in BiH ('Official Gazette of BiH', No. 78/10), the Council of the Communications Regulatory Agency at </w:t>
      </w:r>
      <w:r w:rsidR="00F1560C">
        <w:rPr>
          <w:color w:val="000000"/>
        </w:rPr>
        <w:t>36</w:t>
      </w:r>
      <w:r w:rsidR="00F1560C" w:rsidRPr="00D87876">
        <w:rPr>
          <w:color w:val="000000"/>
          <w:vertAlign w:val="superscript"/>
        </w:rPr>
        <w:t>th</w:t>
      </w:r>
      <w:r w:rsidR="00F1560C" w:rsidRPr="00C30BCF">
        <w:rPr>
          <w:color w:val="000000"/>
        </w:rPr>
        <w:t xml:space="preserve"> session held on </w:t>
      </w:r>
      <w:r w:rsidR="00F1560C">
        <w:rPr>
          <w:color w:val="000000"/>
        </w:rPr>
        <w:t>April 23, 2018</w:t>
      </w:r>
      <w:r w:rsidR="00F1560C" w:rsidRPr="00E27E9F">
        <w:rPr>
          <w:color w:val="000000"/>
        </w:rPr>
        <w:t xml:space="preserve"> </w:t>
      </w:r>
      <w:r w:rsidR="00F1560C">
        <w:rPr>
          <w:color w:val="000000"/>
        </w:rPr>
        <w:t>adopted the</w:t>
      </w:r>
      <w:r w:rsidRPr="0004777F">
        <w:rPr>
          <w:color w:val="000000"/>
        </w:rPr>
        <w:t>:</w:t>
      </w:r>
    </w:p>
    <w:p w14:paraId="04CC9C00" w14:textId="77777777" w:rsidR="00147F77" w:rsidRPr="00DB0B79" w:rsidRDefault="00147F77" w:rsidP="00207008">
      <w:pPr>
        <w:spacing w:after="0" w:line="288" w:lineRule="auto"/>
        <w:ind w:firstLine="0"/>
        <w:rPr>
          <w:b/>
          <w:color w:val="000000"/>
        </w:rPr>
      </w:pPr>
    </w:p>
    <w:p w14:paraId="38896F49" w14:textId="77777777" w:rsidR="00824A53" w:rsidRDefault="00824A53" w:rsidP="00A22D54">
      <w:pPr>
        <w:spacing w:after="0" w:line="288" w:lineRule="auto"/>
        <w:ind w:firstLine="0"/>
        <w:jc w:val="center"/>
        <w:rPr>
          <w:b/>
          <w:color w:val="000000"/>
        </w:rPr>
      </w:pPr>
    </w:p>
    <w:p w14:paraId="0B7F21B5" w14:textId="77777777" w:rsidR="00F1560C" w:rsidRDefault="00F1560C" w:rsidP="00A22D54">
      <w:pPr>
        <w:spacing w:after="0" w:line="288" w:lineRule="auto"/>
        <w:ind w:firstLine="0"/>
        <w:jc w:val="center"/>
        <w:rPr>
          <w:b/>
          <w:color w:val="000000"/>
        </w:rPr>
      </w:pPr>
    </w:p>
    <w:p w14:paraId="273CDC98" w14:textId="77777777" w:rsidR="00951D33" w:rsidRPr="00DB0B79" w:rsidRDefault="00611AC5" w:rsidP="00A22D54">
      <w:pPr>
        <w:spacing w:after="0" w:line="288" w:lineRule="auto"/>
        <w:ind w:firstLine="0"/>
        <w:jc w:val="center"/>
        <w:rPr>
          <w:b/>
          <w:color w:val="000000"/>
        </w:rPr>
      </w:pPr>
      <w:r>
        <w:rPr>
          <w:b/>
          <w:color w:val="000000"/>
        </w:rPr>
        <w:t>Rule</w:t>
      </w:r>
      <w:r w:rsidR="00951D33" w:rsidRPr="00DB0B79">
        <w:rPr>
          <w:b/>
          <w:color w:val="000000"/>
        </w:rPr>
        <w:t xml:space="preserve"> </w:t>
      </w:r>
      <w:r w:rsidR="00F1560C">
        <w:rPr>
          <w:b/>
          <w:color w:val="000000"/>
        </w:rPr>
        <w:t>85</w:t>
      </w:r>
      <w:r w:rsidR="00F1560C" w:rsidRPr="00DB0B79">
        <w:rPr>
          <w:b/>
          <w:color w:val="000000"/>
        </w:rPr>
        <w:t>/</w:t>
      </w:r>
      <w:r w:rsidR="00F1560C">
        <w:rPr>
          <w:b/>
          <w:color w:val="000000"/>
        </w:rPr>
        <w:t>2018</w:t>
      </w:r>
    </w:p>
    <w:p w14:paraId="64E783C4" w14:textId="77777777" w:rsidR="005368E6" w:rsidRPr="00DB0B79" w:rsidRDefault="00F1560C" w:rsidP="005368E6">
      <w:pPr>
        <w:spacing w:after="0" w:line="288" w:lineRule="auto"/>
        <w:ind w:firstLine="0"/>
        <w:jc w:val="center"/>
        <w:rPr>
          <w:b/>
          <w:color w:val="000000"/>
        </w:rPr>
      </w:pPr>
      <w:r>
        <w:rPr>
          <w:color w:val="000000"/>
          <w:szCs w:val="24"/>
        </w:rPr>
        <w:t>on the u</w:t>
      </w:r>
      <w:r w:rsidR="0004777F">
        <w:rPr>
          <w:color w:val="000000"/>
          <w:szCs w:val="24"/>
        </w:rPr>
        <w:t xml:space="preserve">se of </w:t>
      </w:r>
      <w:r>
        <w:rPr>
          <w:color w:val="000000"/>
          <w:szCs w:val="24"/>
        </w:rPr>
        <w:t>radio f</w:t>
      </w:r>
      <w:r w:rsidR="0004777F" w:rsidRPr="0004777F">
        <w:rPr>
          <w:color w:val="000000"/>
          <w:szCs w:val="24"/>
        </w:rPr>
        <w:t>requency</w:t>
      </w:r>
      <w:r>
        <w:rPr>
          <w:color w:val="000000"/>
          <w:szCs w:val="24"/>
        </w:rPr>
        <w:t xml:space="preserve"> b</w:t>
      </w:r>
      <w:r w:rsidR="00611AC5" w:rsidRPr="00611AC5">
        <w:rPr>
          <w:color w:val="000000"/>
          <w:szCs w:val="24"/>
        </w:rPr>
        <w:t>ands 3400-3600 MHz and 3600-3800 MHz for MFCN</w:t>
      </w:r>
    </w:p>
    <w:p w14:paraId="20B6DA29" w14:textId="77777777" w:rsidR="005368E6" w:rsidRPr="00DB0B79" w:rsidRDefault="005368E6" w:rsidP="00DB3606">
      <w:pPr>
        <w:spacing w:after="0" w:line="288" w:lineRule="auto"/>
        <w:ind w:firstLine="0"/>
        <w:rPr>
          <w:b/>
          <w:color w:val="000000"/>
        </w:rPr>
      </w:pPr>
    </w:p>
    <w:p w14:paraId="21DC1636" w14:textId="77777777" w:rsidR="00824A53" w:rsidRDefault="00824A53" w:rsidP="00A22D54">
      <w:pPr>
        <w:spacing w:after="0" w:line="288" w:lineRule="auto"/>
        <w:ind w:firstLine="0"/>
        <w:jc w:val="center"/>
        <w:rPr>
          <w:b/>
          <w:color w:val="000000"/>
        </w:rPr>
      </w:pPr>
    </w:p>
    <w:p w14:paraId="134CDBC1" w14:textId="77777777" w:rsidR="00F1560C" w:rsidRDefault="00F1560C" w:rsidP="00A22D54">
      <w:pPr>
        <w:spacing w:after="0" w:line="288" w:lineRule="auto"/>
        <w:ind w:firstLine="0"/>
        <w:jc w:val="center"/>
        <w:rPr>
          <w:b/>
          <w:color w:val="000000"/>
        </w:rPr>
      </w:pPr>
    </w:p>
    <w:p w14:paraId="06972F31" w14:textId="77777777" w:rsidR="00F1560C" w:rsidRDefault="00F1560C" w:rsidP="00A22D54">
      <w:pPr>
        <w:spacing w:after="0" w:line="288" w:lineRule="auto"/>
        <w:ind w:firstLine="0"/>
        <w:jc w:val="center"/>
        <w:rPr>
          <w:b/>
          <w:color w:val="000000"/>
        </w:rPr>
      </w:pPr>
    </w:p>
    <w:p w14:paraId="70FA277D" w14:textId="77777777" w:rsidR="00951D33" w:rsidRPr="00DB0B79" w:rsidRDefault="00611AC5" w:rsidP="00A22D54">
      <w:pPr>
        <w:spacing w:after="0" w:line="288" w:lineRule="auto"/>
        <w:ind w:firstLine="0"/>
        <w:jc w:val="center"/>
        <w:rPr>
          <w:b/>
          <w:color w:val="000000"/>
        </w:rPr>
      </w:pPr>
      <w:r>
        <w:rPr>
          <w:b/>
          <w:color w:val="000000"/>
        </w:rPr>
        <w:t>Article 1</w:t>
      </w:r>
    </w:p>
    <w:p w14:paraId="47C9EB8F" w14:textId="77777777" w:rsidR="00951D33" w:rsidRPr="00DB0B79" w:rsidRDefault="00951D33" w:rsidP="00F8204E">
      <w:pPr>
        <w:spacing w:after="120" w:line="288" w:lineRule="auto"/>
        <w:ind w:firstLine="0"/>
        <w:jc w:val="center"/>
        <w:rPr>
          <w:b/>
          <w:color w:val="000000"/>
        </w:rPr>
      </w:pPr>
      <w:r w:rsidRPr="00DB0B79">
        <w:rPr>
          <w:b/>
          <w:color w:val="000000"/>
        </w:rPr>
        <w:t>(</w:t>
      </w:r>
      <w:r w:rsidR="00611AC5">
        <w:rPr>
          <w:b/>
          <w:color w:val="000000"/>
        </w:rPr>
        <w:t>Subject</w:t>
      </w:r>
      <w:r w:rsidRPr="00DB0B79">
        <w:rPr>
          <w:b/>
          <w:color w:val="000000"/>
        </w:rPr>
        <w:t>)</w:t>
      </w:r>
    </w:p>
    <w:p w14:paraId="285E9E40" w14:textId="77777777" w:rsidR="00294AE0" w:rsidRPr="00DB0B79" w:rsidRDefault="00611AC5" w:rsidP="00C106FC">
      <w:pPr>
        <w:spacing w:beforeLines="40" w:before="96" w:afterLines="40" w:after="96" w:line="288" w:lineRule="auto"/>
        <w:ind w:firstLine="0"/>
        <w:rPr>
          <w:color w:val="000000"/>
        </w:rPr>
      </w:pPr>
      <w:r w:rsidRPr="00611AC5">
        <w:rPr>
          <w:color w:val="000000"/>
        </w:rPr>
        <w:t>This Rule prescribes the method of using radio frequency bands 3400-3600 MHz and 3600-3800 MHz for mobile</w:t>
      </w:r>
      <w:r>
        <w:rPr>
          <w:color w:val="000000"/>
        </w:rPr>
        <w:t>/</w:t>
      </w:r>
      <w:r w:rsidRPr="00611AC5">
        <w:rPr>
          <w:color w:val="000000"/>
        </w:rPr>
        <w:t>fixed communication networks (MFCN) in Bosnia and Herzegovina on a technologically neutral basis.</w:t>
      </w:r>
    </w:p>
    <w:p w14:paraId="50E9B3CC" w14:textId="77777777" w:rsidR="00F1560C" w:rsidRDefault="00F1560C" w:rsidP="00A22D54">
      <w:pPr>
        <w:spacing w:after="0" w:line="288" w:lineRule="auto"/>
        <w:ind w:firstLine="0"/>
        <w:jc w:val="center"/>
        <w:rPr>
          <w:b/>
          <w:color w:val="000000"/>
        </w:rPr>
      </w:pPr>
    </w:p>
    <w:p w14:paraId="30A37BF1" w14:textId="77777777" w:rsidR="00951D33" w:rsidRPr="00DB0B79" w:rsidRDefault="00611AC5" w:rsidP="00A22D54">
      <w:pPr>
        <w:spacing w:after="0" w:line="288" w:lineRule="auto"/>
        <w:ind w:firstLine="0"/>
        <w:jc w:val="center"/>
        <w:rPr>
          <w:b/>
          <w:color w:val="000000"/>
        </w:rPr>
      </w:pPr>
      <w:r>
        <w:rPr>
          <w:b/>
          <w:color w:val="000000"/>
        </w:rPr>
        <w:t>Article 2</w:t>
      </w:r>
    </w:p>
    <w:p w14:paraId="0AD6966F" w14:textId="77777777" w:rsidR="00951D33" w:rsidRPr="00DB0B79" w:rsidRDefault="00951D33" w:rsidP="00F8204E">
      <w:pPr>
        <w:spacing w:after="120" w:line="288" w:lineRule="auto"/>
        <w:ind w:firstLine="0"/>
        <w:jc w:val="center"/>
        <w:rPr>
          <w:b/>
          <w:color w:val="000000"/>
        </w:rPr>
      </w:pPr>
      <w:r w:rsidRPr="00DB0B79">
        <w:rPr>
          <w:b/>
          <w:color w:val="000000"/>
        </w:rPr>
        <w:t>(</w:t>
      </w:r>
      <w:r w:rsidR="00611AC5">
        <w:rPr>
          <w:b/>
          <w:color w:val="000000"/>
        </w:rPr>
        <w:t>Terms and definitions</w:t>
      </w:r>
      <w:r w:rsidRPr="00DB0B79">
        <w:rPr>
          <w:b/>
          <w:color w:val="000000"/>
        </w:rPr>
        <w:t>)</w:t>
      </w:r>
    </w:p>
    <w:p w14:paraId="6555D78B" w14:textId="77777777" w:rsidR="00611AC5" w:rsidRDefault="00611AC5" w:rsidP="00611AC5">
      <w:pPr>
        <w:spacing w:after="0" w:line="276" w:lineRule="auto"/>
        <w:ind w:firstLine="0"/>
        <w:rPr>
          <w:color w:val="000000"/>
        </w:rPr>
      </w:pPr>
      <w:r w:rsidRPr="0004777F">
        <w:rPr>
          <w:color w:val="000000"/>
        </w:rPr>
        <w:t>For the purposes of</w:t>
      </w:r>
      <w:r w:rsidRPr="00611AC5">
        <w:rPr>
          <w:color w:val="000000"/>
        </w:rPr>
        <w:t xml:space="preserve"> this Rule, terms and abbreviations are used with the meaning</w:t>
      </w:r>
      <w:r w:rsidR="00EF647E">
        <w:rPr>
          <w:color w:val="000000"/>
        </w:rPr>
        <w:t>s</w:t>
      </w:r>
      <w:r w:rsidRPr="00611AC5">
        <w:rPr>
          <w:color w:val="000000"/>
        </w:rPr>
        <w:t xml:space="preserve"> as follows:</w:t>
      </w:r>
    </w:p>
    <w:p w14:paraId="293AEAAE" w14:textId="77777777" w:rsidR="00611AC5" w:rsidRPr="00611AC5" w:rsidRDefault="00611AC5" w:rsidP="00611AC5">
      <w:pPr>
        <w:spacing w:after="0" w:line="276" w:lineRule="auto"/>
        <w:ind w:firstLine="0"/>
        <w:rPr>
          <w:color w:val="000000"/>
        </w:rPr>
      </w:pPr>
    </w:p>
    <w:p w14:paraId="5449E05D" w14:textId="77777777" w:rsidR="00611AC5" w:rsidRPr="00611AC5" w:rsidRDefault="00611AC5" w:rsidP="00F1560C">
      <w:pPr>
        <w:pStyle w:val="ListParagraph"/>
        <w:numPr>
          <w:ilvl w:val="0"/>
          <w:numId w:val="34"/>
        </w:numPr>
        <w:spacing w:before="120" w:after="0"/>
        <w:rPr>
          <w:color w:val="000000"/>
        </w:rPr>
      </w:pPr>
      <w:r w:rsidRPr="00611AC5">
        <w:rPr>
          <w:color w:val="000000"/>
        </w:rPr>
        <w:t>MFCN (Mobile</w:t>
      </w:r>
      <w:r>
        <w:rPr>
          <w:color w:val="000000"/>
        </w:rPr>
        <w:t>/</w:t>
      </w:r>
      <w:r w:rsidRPr="00611AC5">
        <w:rPr>
          <w:color w:val="000000"/>
        </w:rPr>
        <w:t>Fixed Communication Networks) are mobile</w:t>
      </w:r>
      <w:r>
        <w:rPr>
          <w:color w:val="000000"/>
        </w:rPr>
        <w:t>/</w:t>
      </w:r>
      <w:r w:rsidRPr="00611AC5">
        <w:rPr>
          <w:color w:val="000000"/>
        </w:rPr>
        <w:t>fixed communication networks including IMT (International Mobile Telecommunications) and other communication networks in the mobile and fixed service;</w:t>
      </w:r>
    </w:p>
    <w:p w14:paraId="313130BE" w14:textId="77777777" w:rsidR="00611AC5" w:rsidRPr="00611AC5" w:rsidRDefault="00F1560C" w:rsidP="00F1560C">
      <w:pPr>
        <w:pStyle w:val="ListParagraph"/>
        <w:numPr>
          <w:ilvl w:val="0"/>
          <w:numId w:val="34"/>
        </w:numPr>
        <w:spacing w:before="120" w:after="0"/>
        <w:rPr>
          <w:color w:val="000000"/>
        </w:rPr>
      </w:pPr>
      <w:r w:rsidRPr="004D2555">
        <w:rPr>
          <w:color w:val="000000"/>
          <w:szCs w:val="24"/>
        </w:rPr>
        <w:t xml:space="preserve">BEM </w:t>
      </w:r>
      <w:r>
        <w:rPr>
          <w:color w:val="000000"/>
          <w:szCs w:val="24"/>
        </w:rPr>
        <w:t xml:space="preserve">(Block Edge Mask) </w:t>
      </w:r>
      <w:bookmarkStart w:id="0" w:name="_Hlk515285833"/>
      <w:r>
        <w:rPr>
          <w:color w:val="000000"/>
          <w:szCs w:val="24"/>
        </w:rPr>
        <w:t>is an emission</w:t>
      </w:r>
      <w:r w:rsidRPr="004D2555">
        <w:rPr>
          <w:color w:val="000000"/>
          <w:szCs w:val="24"/>
        </w:rPr>
        <w:t xml:space="preserve"> mask defined as a frequency function </w:t>
      </w:r>
      <w:r w:rsidRPr="00C30BCF">
        <w:rPr>
          <w:color w:val="000000"/>
          <w:szCs w:val="24"/>
        </w:rPr>
        <w:t>in relation to</w:t>
      </w:r>
      <w:r w:rsidRPr="004D2555">
        <w:rPr>
          <w:color w:val="000000"/>
          <w:szCs w:val="24"/>
        </w:rPr>
        <w:t xml:space="preserve"> the </w:t>
      </w:r>
      <w:r>
        <w:rPr>
          <w:color w:val="000000"/>
        </w:rPr>
        <w:t>edge</w:t>
      </w:r>
      <w:r w:rsidRPr="0024627E">
        <w:rPr>
          <w:color w:val="000000"/>
        </w:rPr>
        <w:t xml:space="preserve"> of a block </w:t>
      </w:r>
      <w:r>
        <w:rPr>
          <w:color w:val="000000"/>
          <w:szCs w:val="24"/>
        </w:rPr>
        <w:t>licensed to one operator; i</w:t>
      </w:r>
      <w:r w:rsidRPr="004D2555">
        <w:rPr>
          <w:color w:val="000000"/>
          <w:szCs w:val="24"/>
        </w:rPr>
        <w:t xml:space="preserve">t consists of </w:t>
      </w:r>
      <w:r w:rsidRPr="005A5C2D">
        <w:rPr>
          <w:i/>
          <w:color w:val="000000"/>
          <w:szCs w:val="24"/>
        </w:rPr>
        <w:t>in-block</w:t>
      </w:r>
      <w:r w:rsidRPr="004D2555">
        <w:rPr>
          <w:color w:val="000000"/>
          <w:szCs w:val="24"/>
        </w:rPr>
        <w:t xml:space="preserve"> and </w:t>
      </w:r>
      <w:r w:rsidRPr="005A5C2D">
        <w:rPr>
          <w:i/>
          <w:color w:val="000000"/>
          <w:szCs w:val="24"/>
        </w:rPr>
        <w:t>out-of-block</w:t>
      </w:r>
      <w:r w:rsidRPr="004D2555">
        <w:rPr>
          <w:color w:val="000000"/>
          <w:szCs w:val="24"/>
        </w:rPr>
        <w:t xml:space="preserve"> components that specify allowed emission levels on frequencies inside and outside the licensed block</w:t>
      </w:r>
      <w:bookmarkEnd w:id="0"/>
      <w:r w:rsidR="00611AC5" w:rsidRPr="00611AC5">
        <w:rPr>
          <w:color w:val="000000"/>
        </w:rPr>
        <w:t>;</w:t>
      </w:r>
    </w:p>
    <w:p w14:paraId="4727C483" w14:textId="77777777" w:rsidR="00EF647E" w:rsidRPr="004D2555" w:rsidRDefault="00EF647E" w:rsidP="00F1560C">
      <w:pPr>
        <w:pStyle w:val="ListParagraph"/>
        <w:numPr>
          <w:ilvl w:val="0"/>
          <w:numId w:val="34"/>
        </w:numPr>
        <w:spacing w:before="120" w:after="0"/>
        <w:rPr>
          <w:color w:val="000000"/>
          <w:szCs w:val="24"/>
        </w:rPr>
      </w:pPr>
      <w:r>
        <w:rPr>
          <w:color w:val="000000"/>
          <w:szCs w:val="24"/>
        </w:rPr>
        <w:t xml:space="preserve">The </w:t>
      </w:r>
      <w:r w:rsidR="00F1560C">
        <w:rPr>
          <w:color w:val="000000"/>
        </w:rPr>
        <w:t>guard</w:t>
      </w:r>
      <w:r w:rsidR="00F1560C" w:rsidRPr="0024627E">
        <w:rPr>
          <w:color w:val="000000"/>
        </w:rPr>
        <w:t xml:space="preserve"> band is the frequency band applied</w:t>
      </w:r>
      <w:r w:rsidR="00F1560C">
        <w:rPr>
          <w:color w:val="000000"/>
        </w:rPr>
        <w:t xml:space="preserve"> to reduce unwanted emissions to</w:t>
      </w:r>
      <w:r w:rsidR="00F1560C" w:rsidRPr="0024627E">
        <w:rPr>
          <w:color w:val="000000"/>
        </w:rPr>
        <w:t xml:space="preserve"> adjacent ranges</w:t>
      </w:r>
      <w:r w:rsidR="00F1560C" w:rsidRPr="004D2555">
        <w:rPr>
          <w:color w:val="000000"/>
          <w:szCs w:val="24"/>
        </w:rPr>
        <w:t xml:space="preserve"> or blocks assigned to other operators</w:t>
      </w:r>
      <w:r w:rsidRPr="004D2555">
        <w:rPr>
          <w:color w:val="000000"/>
          <w:szCs w:val="24"/>
        </w:rPr>
        <w:t>;</w:t>
      </w:r>
    </w:p>
    <w:p w14:paraId="5BAAA71C" w14:textId="77777777" w:rsidR="00611AC5" w:rsidRPr="00611AC5" w:rsidRDefault="00611AC5" w:rsidP="00F1560C">
      <w:pPr>
        <w:pStyle w:val="ListParagraph"/>
        <w:numPr>
          <w:ilvl w:val="0"/>
          <w:numId w:val="34"/>
        </w:numPr>
        <w:spacing w:before="120" w:after="0"/>
        <w:rPr>
          <w:color w:val="000000"/>
        </w:rPr>
      </w:pPr>
      <w:r w:rsidRPr="0004777F">
        <w:rPr>
          <w:color w:val="000000"/>
        </w:rPr>
        <w:t>T</w:t>
      </w:r>
      <w:r w:rsidR="0004777F">
        <w:rPr>
          <w:color w:val="000000"/>
        </w:rPr>
        <w:t>he t</w:t>
      </w:r>
      <w:r w:rsidRPr="0004777F">
        <w:rPr>
          <w:color w:val="000000"/>
        </w:rPr>
        <w:t>ransition</w:t>
      </w:r>
      <w:r w:rsidR="004E215F">
        <w:rPr>
          <w:color w:val="000000"/>
        </w:rPr>
        <w:t>al</w:t>
      </w:r>
      <w:r w:rsidRPr="00611AC5">
        <w:rPr>
          <w:color w:val="000000"/>
        </w:rPr>
        <w:t xml:space="preserve"> </w:t>
      </w:r>
      <w:r w:rsidR="004E215F">
        <w:rPr>
          <w:color w:val="000000"/>
        </w:rPr>
        <w:t>region</w:t>
      </w:r>
      <w:r w:rsidRPr="00611AC5">
        <w:rPr>
          <w:color w:val="000000"/>
        </w:rPr>
        <w:t xml:space="preserve"> is an </w:t>
      </w:r>
      <w:r w:rsidR="004E215F">
        <w:rPr>
          <w:color w:val="000000"/>
        </w:rPr>
        <w:t>region</w:t>
      </w:r>
      <w:r w:rsidRPr="00611AC5">
        <w:rPr>
          <w:color w:val="000000"/>
        </w:rPr>
        <w:t xml:space="preserve"> from 0 to 5 MHz and 5 to 10 MHz below and above the block assigned to the operator;</w:t>
      </w:r>
    </w:p>
    <w:p w14:paraId="3CD9CEFD" w14:textId="77777777" w:rsidR="00611AC5" w:rsidRPr="00611AC5" w:rsidRDefault="004E215F" w:rsidP="00F1560C">
      <w:pPr>
        <w:pStyle w:val="ListParagraph"/>
        <w:numPr>
          <w:ilvl w:val="0"/>
          <w:numId w:val="34"/>
        </w:numPr>
        <w:spacing w:before="120" w:after="0"/>
        <w:rPr>
          <w:color w:val="000000"/>
        </w:rPr>
      </w:pPr>
      <w:r w:rsidRPr="004D2555">
        <w:rPr>
          <w:color w:val="000000"/>
          <w:szCs w:val="24"/>
        </w:rPr>
        <w:lastRenderedPageBreak/>
        <w:t xml:space="preserve">EIRP (Equivalent Isotropic Radiated Power) </w:t>
      </w:r>
      <w:r w:rsidRPr="0024627E">
        <w:rPr>
          <w:color w:val="000000"/>
        </w:rPr>
        <w:t>is the total power that would be emitted by the hypothetical isotropic antenna to obtain a signal of the same magnitude as the current source in the dir</w:t>
      </w:r>
      <w:r>
        <w:rPr>
          <w:color w:val="000000"/>
        </w:rPr>
        <w:t>ection of the strongest antenna radiation</w:t>
      </w:r>
      <w:r w:rsidR="00611AC5" w:rsidRPr="00611AC5">
        <w:rPr>
          <w:color w:val="000000"/>
        </w:rPr>
        <w:t>;</w:t>
      </w:r>
    </w:p>
    <w:p w14:paraId="0AE69662" w14:textId="77777777" w:rsidR="00611AC5" w:rsidRPr="00611AC5" w:rsidRDefault="004E215F" w:rsidP="00F1560C">
      <w:pPr>
        <w:pStyle w:val="ListParagraph"/>
        <w:numPr>
          <w:ilvl w:val="0"/>
          <w:numId w:val="34"/>
        </w:numPr>
        <w:spacing w:before="120" w:after="0"/>
        <w:rPr>
          <w:color w:val="000000"/>
        </w:rPr>
      </w:pPr>
      <w:r w:rsidRPr="004D2555">
        <w:rPr>
          <w:color w:val="000000"/>
          <w:szCs w:val="24"/>
        </w:rPr>
        <w:t>TRP (Total Radiated Power) is the actual power output from the antenna connected to the active transmitter; is defined as the integral by the time of averaged power density calculated in all directions over the radiation sphere</w:t>
      </w:r>
      <w:r w:rsidR="00611AC5" w:rsidRPr="00611AC5">
        <w:rPr>
          <w:color w:val="000000"/>
        </w:rPr>
        <w:t>;</w:t>
      </w:r>
    </w:p>
    <w:p w14:paraId="4B23D23E" w14:textId="77777777" w:rsidR="00824A53" w:rsidRPr="00611AC5" w:rsidRDefault="00611AC5" w:rsidP="00F1560C">
      <w:pPr>
        <w:pStyle w:val="ListParagraph"/>
        <w:numPr>
          <w:ilvl w:val="0"/>
          <w:numId w:val="34"/>
        </w:numPr>
        <w:spacing w:before="120" w:after="0"/>
        <w:rPr>
          <w:b/>
          <w:color w:val="000000"/>
        </w:rPr>
      </w:pPr>
      <w:r w:rsidRPr="00611AC5">
        <w:rPr>
          <w:color w:val="000000"/>
        </w:rPr>
        <w:t xml:space="preserve">Synchronized TDD is a TDD in two different networks in which a compatible frame structure </w:t>
      </w:r>
      <w:r w:rsidRPr="0004777F">
        <w:rPr>
          <w:color w:val="000000"/>
        </w:rPr>
        <w:t>is configured</w:t>
      </w:r>
      <w:r w:rsidRPr="00611AC5">
        <w:rPr>
          <w:color w:val="000000"/>
        </w:rPr>
        <w:t>, a synchronized start of the frame and</w:t>
      </w:r>
      <w:r w:rsidR="00EF647E">
        <w:rPr>
          <w:color w:val="000000"/>
        </w:rPr>
        <w:t xml:space="preserve"> no simultaneous transmission on the uplink and downlink</w:t>
      </w:r>
      <w:r w:rsidRPr="00611AC5">
        <w:rPr>
          <w:color w:val="000000"/>
        </w:rPr>
        <w:t>.</w:t>
      </w:r>
    </w:p>
    <w:p w14:paraId="3845678B" w14:textId="77777777" w:rsidR="002C6E51" w:rsidRDefault="002C6E51" w:rsidP="00A22D54">
      <w:pPr>
        <w:spacing w:after="0" w:line="288" w:lineRule="auto"/>
        <w:ind w:firstLine="0"/>
        <w:jc w:val="center"/>
        <w:rPr>
          <w:b/>
          <w:color w:val="000000"/>
        </w:rPr>
      </w:pPr>
    </w:p>
    <w:p w14:paraId="59A22339" w14:textId="77777777" w:rsidR="004E215F" w:rsidRDefault="004E215F" w:rsidP="00A22D54">
      <w:pPr>
        <w:spacing w:after="0" w:line="288" w:lineRule="auto"/>
        <w:ind w:firstLine="0"/>
        <w:jc w:val="center"/>
        <w:rPr>
          <w:b/>
          <w:color w:val="000000"/>
        </w:rPr>
      </w:pPr>
    </w:p>
    <w:p w14:paraId="3C2E38D8" w14:textId="77777777" w:rsidR="00202632" w:rsidRDefault="00202632" w:rsidP="00A22D54">
      <w:pPr>
        <w:spacing w:after="0" w:line="288" w:lineRule="auto"/>
        <w:ind w:firstLine="0"/>
        <w:jc w:val="center"/>
        <w:rPr>
          <w:b/>
          <w:color w:val="000000"/>
        </w:rPr>
      </w:pPr>
    </w:p>
    <w:p w14:paraId="544788F7" w14:textId="77777777" w:rsidR="00951D33" w:rsidRPr="00DB0B79" w:rsidRDefault="00611AC5" w:rsidP="00A22D54">
      <w:pPr>
        <w:spacing w:after="0" w:line="288" w:lineRule="auto"/>
        <w:ind w:firstLine="0"/>
        <w:jc w:val="center"/>
        <w:rPr>
          <w:b/>
          <w:color w:val="000000"/>
        </w:rPr>
      </w:pPr>
      <w:r>
        <w:rPr>
          <w:b/>
          <w:color w:val="000000"/>
        </w:rPr>
        <w:t>Article</w:t>
      </w:r>
      <w:r w:rsidR="00B7642A" w:rsidRPr="00DB0B79">
        <w:rPr>
          <w:b/>
          <w:color w:val="000000"/>
        </w:rPr>
        <w:t xml:space="preserve"> </w:t>
      </w:r>
      <w:r w:rsidR="008E4806" w:rsidRPr="00DB0B79">
        <w:rPr>
          <w:b/>
          <w:color w:val="000000"/>
        </w:rPr>
        <w:t>3</w:t>
      </w:r>
    </w:p>
    <w:p w14:paraId="575E450B" w14:textId="77777777" w:rsidR="00951D33" w:rsidRPr="00DB0B79" w:rsidRDefault="00951D33" w:rsidP="00F8204E">
      <w:pPr>
        <w:spacing w:after="120" w:line="288" w:lineRule="auto"/>
        <w:ind w:firstLine="0"/>
        <w:jc w:val="center"/>
        <w:rPr>
          <w:b/>
          <w:color w:val="000000"/>
        </w:rPr>
      </w:pPr>
      <w:r w:rsidRPr="00DB0B79">
        <w:rPr>
          <w:b/>
          <w:color w:val="000000"/>
        </w:rPr>
        <w:t>(</w:t>
      </w:r>
      <w:r w:rsidR="00EF647E">
        <w:rPr>
          <w:b/>
          <w:color w:val="000000"/>
        </w:rPr>
        <w:t xml:space="preserve">Frequency </w:t>
      </w:r>
      <w:r w:rsidR="004E215F">
        <w:rPr>
          <w:b/>
          <w:color w:val="000000"/>
        </w:rPr>
        <w:t>arrangement</w:t>
      </w:r>
      <w:r w:rsidRPr="00DB0B79">
        <w:rPr>
          <w:b/>
          <w:color w:val="000000"/>
        </w:rPr>
        <w:t>)</w:t>
      </w:r>
    </w:p>
    <w:p w14:paraId="568BA49D" w14:textId="77777777" w:rsidR="00611AC5" w:rsidRPr="00611AC5" w:rsidRDefault="00EF647E" w:rsidP="00611AC5">
      <w:pPr>
        <w:numPr>
          <w:ilvl w:val="0"/>
          <w:numId w:val="3"/>
        </w:numPr>
        <w:tabs>
          <w:tab w:val="left" w:pos="600"/>
        </w:tabs>
        <w:spacing w:beforeLines="40" w:before="96" w:afterLines="40" w:after="96" w:line="288" w:lineRule="auto"/>
        <w:rPr>
          <w:color w:val="000000"/>
          <w:szCs w:val="24"/>
        </w:rPr>
      </w:pPr>
      <w:r>
        <w:rPr>
          <w:color w:val="000000"/>
          <w:szCs w:val="24"/>
        </w:rPr>
        <w:t xml:space="preserve">The frequency </w:t>
      </w:r>
      <w:r w:rsidR="004E215F" w:rsidRPr="004E215F">
        <w:rPr>
          <w:color w:val="000000"/>
        </w:rPr>
        <w:t>arrangement</w:t>
      </w:r>
      <w:r w:rsidR="00611AC5" w:rsidRPr="00611AC5">
        <w:rPr>
          <w:color w:val="000000"/>
          <w:szCs w:val="24"/>
        </w:rPr>
        <w:t xml:space="preserve"> in the bands 3400-3600 MHz and 3600-3800 MHz is a TDD distribution based on </w:t>
      </w:r>
      <w:r w:rsidR="004E215F">
        <w:t>whole multiple of 5 MHz block</w:t>
      </w:r>
      <w:r w:rsidR="00611AC5" w:rsidRPr="00611AC5">
        <w:rPr>
          <w:color w:val="000000"/>
          <w:szCs w:val="24"/>
        </w:rPr>
        <w:t>, according to the graphic representation in Figure 1.</w:t>
      </w:r>
    </w:p>
    <w:p w14:paraId="46371146" w14:textId="77777777" w:rsidR="00294AE0" w:rsidRDefault="00611AC5" w:rsidP="00611AC5">
      <w:pPr>
        <w:numPr>
          <w:ilvl w:val="0"/>
          <w:numId w:val="3"/>
        </w:numPr>
        <w:tabs>
          <w:tab w:val="left" w:pos="600"/>
        </w:tabs>
        <w:spacing w:beforeLines="40" w:before="96" w:afterLines="40" w:after="96" w:line="288" w:lineRule="auto"/>
        <w:rPr>
          <w:color w:val="000000"/>
        </w:rPr>
      </w:pPr>
      <w:r w:rsidRPr="00611AC5">
        <w:rPr>
          <w:color w:val="000000"/>
          <w:szCs w:val="24"/>
        </w:rPr>
        <w:t xml:space="preserve">The size of the assigned block </w:t>
      </w:r>
      <w:r w:rsidRPr="0004777F">
        <w:rPr>
          <w:color w:val="000000"/>
          <w:szCs w:val="24"/>
        </w:rPr>
        <w:t>is determined</w:t>
      </w:r>
      <w:r w:rsidRPr="00611AC5">
        <w:rPr>
          <w:color w:val="000000"/>
          <w:szCs w:val="24"/>
        </w:rPr>
        <w:t xml:space="preserve"> by the </w:t>
      </w:r>
      <w:r w:rsidR="00376690" w:rsidRPr="0004777F">
        <w:rPr>
          <w:color w:val="000000"/>
          <w:szCs w:val="24"/>
        </w:rPr>
        <w:t>licen</w:t>
      </w:r>
      <w:r w:rsidR="0004777F">
        <w:rPr>
          <w:color w:val="000000"/>
          <w:szCs w:val="24"/>
        </w:rPr>
        <w:t>s</w:t>
      </w:r>
      <w:r w:rsidR="00376690" w:rsidRPr="0004777F">
        <w:rPr>
          <w:color w:val="000000"/>
          <w:szCs w:val="24"/>
        </w:rPr>
        <w:t>e</w:t>
      </w:r>
      <w:r w:rsidRPr="00611AC5">
        <w:rPr>
          <w:color w:val="000000"/>
          <w:szCs w:val="24"/>
        </w:rPr>
        <w:t xml:space="preserve"> issued for the given geographical area.</w:t>
      </w:r>
    </w:p>
    <w:p w14:paraId="499E7608" w14:textId="77777777" w:rsidR="00543699" w:rsidRDefault="00543699" w:rsidP="009A6B98">
      <w:pPr>
        <w:spacing w:after="0" w:line="288" w:lineRule="auto"/>
        <w:ind w:firstLine="0"/>
        <w:rPr>
          <w:b/>
          <w:color w:val="000000"/>
          <w:szCs w:val="24"/>
        </w:rPr>
      </w:pPr>
    </w:p>
    <w:p w14:paraId="5F22F54F" w14:textId="77777777" w:rsidR="00991734" w:rsidRDefault="00387A8E" w:rsidP="009A6B98">
      <w:pPr>
        <w:spacing w:after="0" w:line="288" w:lineRule="auto"/>
        <w:ind w:firstLine="0"/>
        <w:rPr>
          <w:b/>
          <w:color w:val="000000"/>
          <w:szCs w:val="24"/>
        </w:rPr>
      </w:pPr>
      <w:r>
        <w:rPr>
          <w:lang w:val="en-US"/>
        </w:rPr>
        <w:drawing>
          <wp:inline distT="0" distB="0" distL="0" distR="0" wp14:anchorId="1366EC10" wp14:editId="6E7AD97B">
            <wp:extent cx="5733415" cy="1564149"/>
            <wp:effectExtent l="0" t="0" r="0" b="0"/>
            <wp:docPr id="1" name="Picture 1" descr="C:\Users\mac\AppData\Local\Microsoft\Windows\INetCache\Content.Word\slika 3.5 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AppData\Local\Microsoft\Windows\INetCache\Content.Word\slika 3.5 fina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3415" cy="1564149"/>
                    </a:xfrm>
                    <a:prstGeom prst="rect">
                      <a:avLst/>
                    </a:prstGeom>
                    <a:noFill/>
                    <a:ln>
                      <a:noFill/>
                    </a:ln>
                  </pic:spPr>
                </pic:pic>
              </a:graphicData>
            </a:graphic>
          </wp:inline>
        </w:drawing>
      </w:r>
    </w:p>
    <w:p w14:paraId="5B29C0D3" w14:textId="77777777" w:rsidR="00F8204E" w:rsidRPr="00BD5820" w:rsidRDefault="00E4675C" w:rsidP="00F8204E">
      <w:pPr>
        <w:tabs>
          <w:tab w:val="left" w:pos="600"/>
        </w:tabs>
        <w:spacing w:after="0" w:line="240" w:lineRule="auto"/>
        <w:ind w:left="360" w:firstLine="0"/>
        <w:jc w:val="center"/>
        <w:rPr>
          <w:b/>
          <w:color w:val="000000"/>
          <w:sz w:val="20"/>
        </w:rPr>
      </w:pPr>
      <w:r>
        <w:rPr>
          <w:b/>
          <w:color w:val="000000"/>
          <w:sz w:val="20"/>
        </w:rPr>
        <w:t>Figure</w:t>
      </w:r>
      <w:r w:rsidR="00F8204E" w:rsidRPr="00BD5820">
        <w:rPr>
          <w:b/>
          <w:color w:val="000000"/>
          <w:sz w:val="20"/>
        </w:rPr>
        <w:t xml:space="preserve"> 1: </w:t>
      </w:r>
      <w:r w:rsidR="00EF647E">
        <w:rPr>
          <w:b/>
          <w:color w:val="000000"/>
          <w:sz w:val="20"/>
        </w:rPr>
        <w:t xml:space="preserve">Referential frequency </w:t>
      </w:r>
      <w:r w:rsidR="004E215F">
        <w:rPr>
          <w:b/>
          <w:color w:val="000000"/>
          <w:sz w:val="20"/>
        </w:rPr>
        <w:t>arrangement</w:t>
      </w:r>
    </w:p>
    <w:p w14:paraId="6BD7326B" w14:textId="77777777" w:rsidR="002C6E51" w:rsidRDefault="002C6E51" w:rsidP="00EF647E">
      <w:pPr>
        <w:spacing w:after="0" w:line="288" w:lineRule="auto"/>
        <w:ind w:firstLine="0"/>
        <w:rPr>
          <w:b/>
          <w:color w:val="000000"/>
        </w:rPr>
      </w:pPr>
    </w:p>
    <w:p w14:paraId="39B635EC" w14:textId="77777777" w:rsidR="009C0EEF" w:rsidRDefault="009C0EEF" w:rsidP="00A94536">
      <w:pPr>
        <w:spacing w:after="0" w:line="288" w:lineRule="auto"/>
        <w:ind w:firstLine="0"/>
        <w:jc w:val="center"/>
        <w:rPr>
          <w:b/>
          <w:color w:val="000000"/>
        </w:rPr>
      </w:pPr>
    </w:p>
    <w:p w14:paraId="1E3F6CBD" w14:textId="77777777" w:rsidR="004E215F" w:rsidRDefault="004E215F" w:rsidP="00A94536">
      <w:pPr>
        <w:spacing w:after="0" w:line="288" w:lineRule="auto"/>
        <w:ind w:firstLine="0"/>
        <w:jc w:val="center"/>
        <w:rPr>
          <w:b/>
          <w:color w:val="000000"/>
        </w:rPr>
      </w:pPr>
    </w:p>
    <w:p w14:paraId="023B4583" w14:textId="77777777" w:rsidR="004E215F" w:rsidRDefault="004E215F" w:rsidP="00A94536">
      <w:pPr>
        <w:spacing w:after="0" w:line="288" w:lineRule="auto"/>
        <w:ind w:firstLine="0"/>
        <w:jc w:val="center"/>
        <w:rPr>
          <w:b/>
          <w:color w:val="000000"/>
        </w:rPr>
      </w:pPr>
    </w:p>
    <w:p w14:paraId="36E66491" w14:textId="77777777" w:rsidR="00356429" w:rsidRPr="00DB0B79" w:rsidRDefault="00611AC5" w:rsidP="00A94536">
      <w:pPr>
        <w:spacing w:after="0" w:line="288" w:lineRule="auto"/>
        <w:ind w:firstLine="0"/>
        <w:jc w:val="center"/>
        <w:rPr>
          <w:b/>
          <w:color w:val="000000"/>
        </w:rPr>
      </w:pPr>
      <w:r>
        <w:rPr>
          <w:b/>
          <w:color w:val="000000"/>
        </w:rPr>
        <w:t>Article</w:t>
      </w:r>
      <w:r w:rsidR="001F3EE2" w:rsidRPr="00DB0B79">
        <w:rPr>
          <w:b/>
          <w:color w:val="000000"/>
        </w:rPr>
        <w:t xml:space="preserve"> </w:t>
      </w:r>
      <w:r w:rsidR="00FC7B67">
        <w:rPr>
          <w:b/>
          <w:color w:val="000000"/>
        </w:rPr>
        <w:t>4</w:t>
      </w:r>
    </w:p>
    <w:p w14:paraId="3FACEE70" w14:textId="77777777" w:rsidR="00356429" w:rsidRPr="00DB0B79" w:rsidRDefault="00470C92" w:rsidP="00F8204E">
      <w:pPr>
        <w:spacing w:after="120" w:line="288" w:lineRule="auto"/>
        <w:ind w:firstLine="0"/>
        <w:jc w:val="center"/>
        <w:rPr>
          <w:b/>
          <w:color w:val="000000"/>
        </w:rPr>
      </w:pPr>
      <w:r w:rsidRPr="00DB0B79">
        <w:rPr>
          <w:b/>
          <w:color w:val="000000"/>
        </w:rPr>
        <w:t>(</w:t>
      </w:r>
      <w:r w:rsidR="00E4675C" w:rsidRPr="00E4675C">
        <w:rPr>
          <w:b/>
          <w:color w:val="000000"/>
        </w:rPr>
        <w:t>Technical requirements for base stations</w:t>
      </w:r>
      <w:r w:rsidR="00356429" w:rsidRPr="00DB0B79">
        <w:rPr>
          <w:b/>
          <w:color w:val="000000"/>
        </w:rPr>
        <w:t>)</w:t>
      </w:r>
    </w:p>
    <w:p w14:paraId="68440E69" w14:textId="77777777" w:rsidR="00E4675C" w:rsidRPr="00E4675C" w:rsidRDefault="00E4675C" w:rsidP="004E215F">
      <w:pPr>
        <w:pStyle w:val="ListParagraph"/>
        <w:numPr>
          <w:ilvl w:val="0"/>
          <w:numId w:val="32"/>
        </w:numPr>
        <w:spacing w:beforeLines="40" w:before="96" w:afterLines="40" w:after="96" w:line="288" w:lineRule="auto"/>
        <w:jc w:val="left"/>
        <w:rPr>
          <w:color w:val="000000"/>
        </w:rPr>
      </w:pPr>
      <w:r w:rsidRPr="00E4675C">
        <w:rPr>
          <w:color w:val="000000"/>
        </w:rPr>
        <w:t xml:space="preserve">The technical requirements for the use of MFCN base stations </w:t>
      </w:r>
      <w:r w:rsidRPr="0004777F">
        <w:rPr>
          <w:color w:val="000000"/>
        </w:rPr>
        <w:t>are defined</w:t>
      </w:r>
      <w:r w:rsidRPr="00E4675C">
        <w:rPr>
          <w:color w:val="000000"/>
        </w:rPr>
        <w:t xml:space="preserve"> by a BEM mask with EIRP </w:t>
      </w:r>
      <w:r w:rsidR="004E215F">
        <w:rPr>
          <w:color w:val="000000"/>
        </w:rPr>
        <w:t>limits</w:t>
      </w:r>
      <w:r w:rsidRPr="00E4675C">
        <w:rPr>
          <w:color w:val="000000"/>
        </w:rPr>
        <w:t xml:space="preserve"> inside and outside the assigned block (Figure 2).</w:t>
      </w:r>
    </w:p>
    <w:p w14:paraId="15E9B62D" w14:textId="77777777" w:rsidR="00E4675C" w:rsidRDefault="00E4675C" w:rsidP="004E215F">
      <w:pPr>
        <w:pStyle w:val="ListParagraph"/>
        <w:numPr>
          <w:ilvl w:val="0"/>
          <w:numId w:val="32"/>
        </w:numPr>
        <w:spacing w:beforeLines="40" w:before="96" w:afterLines="40" w:after="96" w:line="288" w:lineRule="auto"/>
        <w:jc w:val="left"/>
        <w:rPr>
          <w:color w:val="000000"/>
        </w:rPr>
      </w:pPr>
      <w:r w:rsidRPr="00E4675C">
        <w:rPr>
          <w:color w:val="000000"/>
        </w:rPr>
        <w:t xml:space="preserve">The power limit for individual BEM elements </w:t>
      </w:r>
      <w:r w:rsidRPr="0004777F">
        <w:rPr>
          <w:color w:val="000000"/>
        </w:rPr>
        <w:t>is given</w:t>
      </w:r>
      <w:r w:rsidRPr="00E4675C">
        <w:rPr>
          <w:color w:val="000000"/>
        </w:rPr>
        <w:t xml:space="preserve"> in the table below:</w:t>
      </w:r>
    </w:p>
    <w:p w14:paraId="41FEA2A1" w14:textId="77777777" w:rsidR="00E4675C" w:rsidRPr="00E4675C" w:rsidRDefault="00E4675C" w:rsidP="00EF647E">
      <w:pPr>
        <w:spacing w:after="0" w:line="276" w:lineRule="auto"/>
        <w:ind w:firstLine="0"/>
        <w:jc w:val="left"/>
        <w:rPr>
          <w:color w:val="000000"/>
        </w:rPr>
      </w:pPr>
    </w:p>
    <w:p w14:paraId="60B1E2DD" w14:textId="77777777" w:rsidR="004F1CC1" w:rsidRDefault="004F1CC1">
      <w:pPr>
        <w:spacing w:after="0" w:line="240" w:lineRule="auto"/>
        <w:ind w:firstLine="0"/>
        <w:jc w:val="left"/>
        <w:rPr>
          <w:color w:val="00000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00"/>
        <w:gridCol w:w="3871"/>
      </w:tblGrid>
      <w:tr w:rsidR="004F6779" w:rsidRPr="00DB0B79" w14:paraId="1898C895" w14:textId="77777777" w:rsidTr="0099625D">
        <w:trPr>
          <w:jc w:val="center"/>
        </w:trPr>
        <w:tc>
          <w:tcPr>
            <w:tcW w:w="4500" w:type="dxa"/>
            <w:tcBorders>
              <w:top w:val="single" w:sz="12" w:space="0" w:color="auto"/>
              <w:bottom w:val="single" w:sz="12" w:space="0" w:color="auto"/>
            </w:tcBorders>
            <w:vAlign w:val="center"/>
          </w:tcPr>
          <w:p w14:paraId="2359131A" w14:textId="77777777" w:rsidR="00294AE0" w:rsidRPr="00DB0B79" w:rsidRDefault="001F22FE" w:rsidP="00C106FC">
            <w:pPr>
              <w:autoSpaceDE w:val="0"/>
              <w:autoSpaceDN w:val="0"/>
              <w:adjustRightInd w:val="0"/>
              <w:spacing w:beforeLines="40" w:before="96" w:afterLines="40" w:after="96" w:line="288" w:lineRule="auto"/>
              <w:ind w:firstLine="0"/>
              <w:jc w:val="left"/>
              <w:rPr>
                <w:b/>
                <w:color w:val="000000"/>
                <w:szCs w:val="24"/>
              </w:rPr>
            </w:pPr>
            <w:r w:rsidRPr="00DB0B79">
              <w:rPr>
                <w:b/>
                <w:color w:val="000000"/>
                <w:szCs w:val="24"/>
              </w:rPr>
              <w:t>BEM element</w:t>
            </w:r>
          </w:p>
        </w:tc>
        <w:tc>
          <w:tcPr>
            <w:tcW w:w="3871" w:type="dxa"/>
            <w:tcBorders>
              <w:top w:val="single" w:sz="12" w:space="0" w:color="auto"/>
              <w:bottom w:val="single" w:sz="12" w:space="0" w:color="auto"/>
            </w:tcBorders>
            <w:vAlign w:val="center"/>
          </w:tcPr>
          <w:p w14:paraId="2B3E859E" w14:textId="77777777" w:rsidR="00294AE0" w:rsidRPr="00DB0B79" w:rsidRDefault="002E09CB" w:rsidP="00C106FC">
            <w:pPr>
              <w:autoSpaceDE w:val="0"/>
              <w:autoSpaceDN w:val="0"/>
              <w:adjustRightInd w:val="0"/>
              <w:spacing w:beforeLines="40" w:before="96" w:afterLines="40" w:after="96" w:line="288" w:lineRule="auto"/>
              <w:ind w:firstLine="0"/>
              <w:jc w:val="left"/>
              <w:rPr>
                <w:b/>
                <w:color w:val="000000"/>
                <w:szCs w:val="24"/>
              </w:rPr>
            </w:pPr>
            <w:r>
              <w:rPr>
                <w:b/>
                <w:color w:val="000000"/>
                <w:szCs w:val="24"/>
              </w:rPr>
              <w:t>Power limit</w:t>
            </w:r>
          </w:p>
        </w:tc>
      </w:tr>
      <w:tr w:rsidR="004F6779" w:rsidRPr="00DB0B79" w14:paraId="3CA531E7" w14:textId="77777777" w:rsidTr="0099625D">
        <w:trPr>
          <w:jc w:val="center"/>
        </w:trPr>
        <w:tc>
          <w:tcPr>
            <w:tcW w:w="4500" w:type="dxa"/>
            <w:tcBorders>
              <w:top w:val="single" w:sz="12" w:space="0" w:color="auto"/>
            </w:tcBorders>
          </w:tcPr>
          <w:p w14:paraId="3853A8DD" w14:textId="77777777" w:rsidR="00294AE0" w:rsidRPr="00DB0B79" w:rsidRDefault="00E4675C" w:rsidP="00C106FC">
            <w:pPr>
              <w:autoSpaceDE w:val="0"/>
              <w:autoSpaceDN w:val="0"/>
              <w:adjustRightInd w:val="0"/>
              <w:spacing w:beforeLines="40" w:before="96" w:afterLines="40" w:after="96" w:line="240" w:lineRule="auto"/>
              <w:ind w:firstLine="0"/>
              <w:rPr>
                <w:color w:val="000000"/>
                <w:szCs w:val="24"/>
                <w:u w:val="single"/>
              </w:rPr>
            </w:pPr>
            <w:r w:rsidRPr="00E4675C">
              <w:rPr>
                <w:color w:val="000000"/>
                <w:szCs w:val="24"/>
                <w:u w:val="single"/>
              </w:rPr>
              <w:t>Assigned block</w:t>
            </w:r>
          </w:p>
        </w:tc>
        <w:tc>
          <w:tcPr>
            <w:tcW w:w="3871" w:type="dxa"/>
            <w:tcBorders>
              <w:top w:val="single" w:sz="12" w:space="0" w:color="auto"/>
            </w:tcBorders>
          </w:tcPr>
          <w:p w14:paraId="7C81EA9E" w14:textId="77777777" w:rsidR="00E4675C" w:rsidRPr="00E4675C" w:rsidRDefault="00E4675C" w:rsidP="00E4675C">
            <w:pPr>
              <w:autoSpaceDE w:val="0"/>
              <w:autoSpaceDN w:val="0"/>
              <w:adjustRightInd w:val="0"/>
              <w:spacing w:beforeLines="40" w:before="96" w:afterLines="40" w:after="96" w:line="288" w:lineRule="auto"/>
              <w:ind w:firstLine="0"/>
              <w:jc w:val="left"/>
              <w:rPr>
                <w:color w:val="000000"/>
              </w:rPr>
            </w:pPr>
            <w:r w:rsidRPr="00E4675C">
              <w:rPr>
                <w:color w:val="000000"/>
              </w:rPr>
              <w:t>68 dBm</w:t>
            </w:r>
            <w:r w:rsidR="00611AC5">
              <w:rPr>
                <w:color w:val="000000"/>
              </w:rPr>
              <w:t>/</w:t>
            </w:r>
            <w:r w:rsidRPr="00E4675C">
              <w:rPr>
                <w:color w:val="000000"/>
              </w:rPr>
              <w:t>5 MHz per antenna *</w:t>
            </w:r>
          </w:p>
          <w:p w14:paraId="1F12A26A" w14:textId="77777777" w:rsidR="00E4675C" w:rsidRPr="00E4675C" w:rsidRDefault="00E4675C" w:rsidP="00E4675C">
            <w:pPr>
              <w:autoSpaceDE w:val="0"/>
              <w:autoSpaceDN w:val="0"/>
              <w:adjustRightInd w:val="0"/>
              <w:spacing w:beforeLines="40" w:before="96" w:afterLines="40" w:after="96" w:line="288" w:lineRule="auto"/>
              <w:ind w:firstLine="0"/>
              <w:jc w:val="left"/>
              <w:rPr>
                <w:color w:val="000000"/>
              </w:rPr>
            </w:pPr>
            <w:r w:rsidRPr="0004777F">
              <w:rPr>
                <w:color w:val="000000"/>
              </w:rPr>
              <w:t>4</w:t>
            </w:r>
            <w:r w:rsidRPr="00E4675C">
              <w:rPr>
                <w:color w:val="000000"/>
              </w:rPr>
              <w:t xml:space="preserve"> dBm</w:t>
            </w:r>
            <w:r w:rsidR="00611AC5">
              <w:rPr>
                <w:color w:val="000000"/>
              </w:rPr>
              <w:t>/</w:t>
            </w:r>
            <w:r w:rsidRPr="00E4675C">
              <w:rPr>
                <w:color w:val="000000"/>
              </w:rPr>
              <w:t>5MHz per cell in adjacent sub-blocks of 5 MHz in non-synchronized networks</w:t>
            </w:r>
          </w:p>
          <w:p w14:paraId="28ED8F75" w14:textId="77777777" w:rsidR="008873C4" w:rsidRPr="00DB0B79" w:rsidRDefault="00E4675C" w:rsidP="00E4675C">
            <w:pPr>
              <w:autoSpaceDE w:val="0"/>
              <w:autoSpaceDN w:val="0"/>
              <w:adjustRightInd w:val="0"/>
              <w:spacing w:beforeLines="40" w:before="96" w:afterLines="40" w:after="96" w:line="240" w:lineRule="auto"/>
              <w:ind w:firstLine="0"/>
              <w:jc w:val="left"/>
              <w:rPr>
                <w:color w:val="000000"/>
                <w:szCs w:val="24"/>
              </w:rPr>
            </w:pPr>
            <w:r w:rsidRPr="00E4675C">
              <w:rPr>
                <w:color w:val="000000"/>
              </w:rPr>
              <w:t xml:space="preserve">for the </w:t>
            </w:r>
            <w:r w:rsidRPr="0004777F">
              <w:rPr>
                <w:color w:val="000000"/>
              </w:rPr>
              <w:t>femto</w:t>
            </w:r>
            <w:r w:rsidRPr="00E4675C">
              <w:rPr>
                <w:color w:val="000000"/>
              </w:rPr>
              <w:t xml:space="preserve"> base station, power control is mandatory</w:t>
            </w:r>
          </w:p>
        </w:tc>
      </w:tr>
      <w:tr w:rsidR="001F22FE" w:rsidRPr="00DB0B79" w14:paraId="14F7E9B5" w14:textId="77777777" w:rsidTr="0099625D">
        <w:trPr>
          <w:trHeight w:val="2291"/>
          <w:jc w:val="center"/>
        </w:trPr>
        <w:tc>
          <w:tcPr>
            <w:tcW w:w="4500" w:type="dxa"/>
          </w:tcPr>
          <w:p w14:paraId="28783FD0" w14:textId="77777777" w:rsidR="00E4675C" w:rsidRDefault="00E4675C" w:rsidP="00C106FC">
            <w:pPr>
              <w:autoSpaceDE w:val="0"/>
              <w:autoSpaceDN w:val="0"/>
              <w:adjustRightInd w:val="0"/>
              <w:spacing w:beforeLines="40" w:before="96" w:afterLines="40" w:after="96" w:line="240" w:lineRule="auto"/>
              <w:ind w:firstLine="0"/>
              <w:jc w:val="left"/>
              <w:rPr>
                <w:color w:val="000000"/>
                <w:szCs w:val="24"/>
                <w:u w:val="single"/>
              </w:rPr>
            </w:pPr>
            <w:r w:rsidRPr="00E4675C">
              <w:rPr>
                <w:color w:val="000000"/>
                <w:szCs w:val="24"/>
                <w:u w:val="single"/>
              </w:rPr>
              <w:t>Transition</w:t>
            </w:r>
            <w:r w:rsidR="002E09CB">
              <w:rPr>
                <w:color w:val="000000"/>
                <w:szCs w:val="24"/>
                <w:u w:val="single"/>
              </w:rPr>
              <w:t>al</w:t>
            </w:r>
            <w:r w:rsidRPr="00E4675C">
              <w:rPr>
                <w:color w:val="000000"/>
                <w:szCs w:val="24"/>
                <w:u w:val="single"/>
              </w:rPr>
              <w:t xml:space="preserve"> </w:t>
            </w:r>
            <w:r w:rsidR="002E09CB">
              <w:rPr>
                <w:color w:val="000000"/>
                <w:szCs w:val="24"/>
                <w:u w:val="single"/>
              </w:rPr>
              <w:t>region</w:t>
            </w:r>
          </w:p>
          <w:p w14:paraId="2834E0B0" w14:textId="77777777" w:rsidR="00E4675C" w:rsidRPr="002E09CB" w:rsidRDefault="00E4675C" w:rsidP="00E4675C">
            <w:pPr>
              <w:autoSpaceDE w:val="0"/>
              <w:autoSpaceDN w:val="0"/>
              <w:adjustRightInd w:val="0"/>
              <w:spacing w:beforeLines="40" w:before="96" w:afterLines="40" w:after="96" w:line="240" w:lineRule="auto"/>
              <w:ind w:firstLine="0"/>
              <w:jc w:val="left"/>
              <w:rPr>
                <w:szCs w:val="24"/>
              </w:rPr>
            </w:pPr>
            <w:r w:rsidRPr="002E09CB">
              <w:rPr>
                <w:szCs w:val="24"/>
              </w:rPr>
              <w:t xml:space="preserve">-5 to 0 MHz from </w:t>
            </w:r>
            <w:r w:rsidR="002E09CB" w:rsidRPr="002E09CB">
              <w:rPr>
                <w:szCs w:val="24"/>
              </w:rPr>
              <w:t xml:space="preserve">lower block edge </w:t>
            </w:r>
            <w:r w:rsidRPr="002E09CB">
              <w:rPr>
                <w:szCs w:val="24"/>
              </w:rPr>
              <w:br/>
              <w:t xml:space="preserve">0 to 5 MHz from </w:t>
            </w:r>
            <w:r w:rsidR="002E09CB" w:rsidRPr="002E09CB">
              <w:rPr>
                <w:szCs w:val="24"/>
              </w:rPr>
              <w:t>upper block edge</w:t>
            </w:r>
          </w:p>
          <w:p w14:paraId="0F9C766A" w14:textId="77777777" w:rsidR="002E09CB" w:rsidRDefault="002E09CB" w:rsidP="002E09CB">
            <w:pPr>
              <w:autoSpaceDE w:val="0"/>
              <w:autoSpaceDN w:val="0"/>
              <w:adjustRightInd w:val="0"/>
              <w:spacing w:after="0" w:line="240" w:lineRule="auto"/>
              <w:ind w:firstLine="0"/>
              <w:jc w:val="left"/>
              <w:rPr>
                <w:szCs w:val="24"/>
              </w:rPr>
            </w:pPr>
          </w:p>
          <w:p w14:paraId="00777603" w14:textId="77777777" w:rsidR="00294AE0" w:rsidRPr="00DB0B79" w:rsidRDefault="00E4675C" w:rsidP="00E4675C">
            <w:pPr>
              <w:autoSpaceDE w:val="0"/>
              <w:autoSpaceDN w:val="0"/>
              <w:adjustRightInd w:val="0"/>
              <w:spacing w:beforeLines="40" w:before="96" w:afterLines="40" w:after="96" w:line="240" w:lineRule="auto"/>
              <w:ind w:firstLine="0"/>
              <w:jc w:val="left"/>
              <w:rPr>
                <w:szCs w:val="24"/>
              </w:rPr>
            </w:pPr>
            <w:r w:rsidRPr="00E4675C">
              <w:rPr>
                <w:szCs w:val="24"/>
              </w:rPr>
              <w:t xml:space="preserve">-10 to -5 MHz from </w:t>
            </w:r>
            <w:r w:rsidR="002E09CB" w:rsidRPr="002E09CB">
              <w:rPr>
                <w:szCs w:val="24"/>
              </w:rPr>
              <w:t>lower block edge</w:t>
            </w:r>
            <w:r>
              <w:rPr>
                <w:szCs w:val="24"/>
              </w:rPr>
              <w:br/>
            </w:r>
            <w:r w:rsidRPr="00E4675C">
              <w:rPr>
                <w:szCs w:val="24"/>
              </w:rPr>
              <w:t xml:space="preserve">5 to 10 MHz from </w:t>
            </w:r>
            <w:r w:rsidR="002E09CB" w:rsidRPr="002E09CB">
              <w:rPr>
                <w:szCs w:val="24"/>
              </w:rPr>
              <w:t>upper block edge</w:t>
            </w:r>
          </w:p>
        </w:tc>
        <w:tc>
          <w:tcPr>
            <w:tcW w:w="3871" w:type="dxa"/>
          </w:tcPr>
          <w:p w14:paraId="01F6F8BB" w14:textId="77777777" w:rsidR="00294AE0" w:rsidRPr="00DB0B79" w:rsidRDefault="00294AE0" w:rsidP="00C106FC">
            <w:pPr>
              <w:autoSpaceDE w:val="0"/>
              <w:autoSpaceDN w:val="0"/>
              <w:adjustRightInd w:val="0"/>
              <w:spacing w:beforeLines="40" w:before="96" w:afterLines="40" w:after="96" w:line="240" w:lineRule="auto"/>
              <w:ind w:firstLine="0"/>
              <w:jc w:val="left"/>
              <w:rPr>
                <w:color w:val="000000"/>
                <w:szCs w:val="24"/>
              </w:rPr>
            </w:pPr>
          </w:p>
          <w:p w14:paraId="7AB0D4C7" w14:textId="77777777" w:rsidR="00E4675C" w:rsidRDefault="00E4675C" w:rsidP="00E4675C">
            <w:pPr>
              <w:autoSpaceDE w:val="0"/>
              <w:autoSpaceDN w:val="0"/>
              <w:adjustRightInd w:val="0"/>
              <w:spacing w:beforeLines="40" w:before="96" w:afterLines="40" w:after="96" w:line="240" w:lineRule="auto"/>
              <w:ind w:firstLine="0"/>
              <w:jc w:val="left"/>
            </w:pPr>
            <w:r>
              <w:t>Min (P</w:t>
            </w:r>
            <w:r w:rsidRPr="00E4675C">
              <w:rPr>
                <w:vertAlign w:val="subscript"/>
              </w:rPr>
              <w:t>max</w:t>
            </w:r>
            <w:r>
              <w:t xml:space="preserve"> - 40, 21) dBm</w:t>
            </w:r>
            <w:r w:rsidR="00611AC5">
              <w:t>/</w:t>
            </w:r>
            <w:r>
              <w:t>5 MHz</w:t>
            </w:r>
            <w:r>
              <w:br/>
              <w:t>EIRP per antenna</w:t>
            </w:r>
          </w:p>
          <w:p w14:paraId="6CDFE07E" w14:textId="77777777" w:rsidR="00E4675C" w:rsidRDefault="00E4675C" w:rsidP="002E09CB">
            <w:pPr>
              <w:autoSpaceDE w:val="0"/>
              <w:autoSpaceDN w:val="0"/>
              <w:adjustRightInd w:val="0"/>
              <w:spacing w:after="0" w:line="240" w:lineRule="auto"/>
              <w:ind w:firstLine="0"/>
              <w:jc w:val="left"/>
            </w:pPr>
          </w:p>
          <w:p w14:paraId="63B43F94" w14:textId="77777777" w:rsidR="00294AE0" w:rsidRPr="00E4675C" w:rsidRDefault="00E4675C" w:rsidP="00E4675C">
            <w:pPr>
              <w:autoSpaceDE w:val="0"/>
              <w:autoSpaceDN w:val="0"/>
              <w:adjustRightInd w:val="0"/>
              <w:spacing w:beforeLines="40" w:before="96" w:afterLines="40" w:after="96" w:line="240" w:lineRule="auto"/>
              <w:ind w:firstLine="0"/>
              <w:jc w:val="left"/>
            </w:pPr>
            <w:r>
              <w:t>Min (P</w:t>
            </w:r>
            <w:r w:rsidRPr="00E4675C">
              <w:rPr>
                <w:vertAlign w:val="subscript"/>
              </w:rPr>
              <w:t>max</w:t>
            </w:r>
            <w:r>
              <w:t xml:space="preserve"> - 43, 15) dBm</w:t>
            </w:r>
            <w:r w:rsidR="00611AC5">
              <w:t>/</w:t>
            </w:r>
            <w:r>
              <w:t>5 MHz</w:t>
            </w:r>
            <w:r>
              <w:br/>
              <w:t>EIRP per antenna</w:t>
            </w:r>
          </w:p>
        </w:tc>
      </w:tr>
      <w:tr w:rsidR="004F6779" w:rsidRPr="00DB0B79" w14:paraId="7C705254" w14:textId="77777777" w:rsidTr="0099625D">
        <w:trPr>
          <w:trHeight w:val="1984"/>
          <w:jc w:val="center"/>
        </w:trPr>
        <w:tc>
          <w:tcPr>
            <w:tcW w:w="4500" w:type="dxa"/>
          </w:tcPr>
          <w:p w14:paraId="05CD8F89" w14:textId="77777777" w:rsidR="00E4675C" w:rsidRDefault="00E4675C" w:rsidP="00CB55C4">
            <w:pPr>
              <w:autoSpaceDE w:val="0"/>
              <w:autoSpaceDN w:val="0"/>
              <w:adjustRightInd w:val="0"/>
              <w:spacing w:before="120" w:after="0" w:line="240" w:lineRule="auto"/>
              <w:ind w:firstLine="0"/>
              <w:jc w:val="left"/>
              <w:rPr>
                <w:color w:val="000000"/>
                <w:szCs w:val="24"/>
                <w:u w:val="single"/>
              </w:rPr>
            </w:pPr>
            <w:r w:rsidRPr="00E4675C">
              <w:rPr>
                <w:color w:val="000000"/>
                <w:szCs w:val="24"/>
                <w:u w:val="single"/>
              </w:rPr>
              <w:t>Spectrum outside of the assigned block and transition</w:t>
            </w:r>
            <w:r w:rsidR="002E09CB">
              <w:rPr>
                <w:color w:val="000000"/>
                <w:szCs w:val="24"/>
                <w:u w:val="single"/>
              </w:rPr>
              <w:t>al</w:t>
            </w:r>
            <w:r w:rsidRPr="00E4675C">
              <w:rPr>
                <w:color w:val="000000"/>
                <w:szCs w:val="24"/>
                <w:u w:val="single"/>
              </w:rPr>
              <w:t xml:space="preserve"> </w:t>
            </w:r>
            <w:r w:rsidR="002E09CB">
              <w:rPr>
                <w:color w:val="000000"/>
                <w:szCs w:val="24"/>
                <w:u w:val="single"/>
              </w:rPr>
              <w:t>region</w:t>
            </w:r>
            <w:r w:rsidRPr="00E4675C">
              <w:rPr>
                <w:color w:val="000000"/>
                <w:szCs w:val="24"/>
                <w:u w:val="single"/>
              </w:rPr>
              <w:t xml:space="preserve"> (</w:t>
            </w:r>
            <w:r w:rsidR="002E09CB">
              <w:rPr>
                <w:color w:val="000000"/>
                <w:szCs w:val="24"/>
                <w:u w:val="single"/>
              </w:rPr>
              <w:t>baseline</w:t>
            </w:r>
            <w:r w:rsidRPr="00E4675C">
              <w:rPr>
                <w:color w:val="000000"/>
                <w:szCs w:val="24"/>
                <w:u w:val="single"/>
              </w:rPr>
              <w:t>)</w:t>
            </w:r>
          </w:p>
          <w:p w14:paraId="3A0838E3" w14:textId="77777777" w:rsidR="00E4675C" w:rsidRDefault="00E4675C" w:rsidP="00E4675C">
            <w:pPr>
              <w:autoSpaceDE w:val="0"/>
              <w:autoSpaceDN w:val="0"/>
              <w:adjustRightInd w:val="0"/>
              <w:spacing w:before="120" w:after="0" w:line="240" w:lineRule="auto"/>
              <w:ind w:firstLine="0"/>
              <w:jc w:val="left"/>
              <w:rPr>
                <w:color w:val="000000"/>
                <w:szCs w:val="24"/>
              </w:rPr>
            </w:pPr>
            <w:r w:rsidRPr="00E4675C">
              <w:rPr>
                <w:color w:val="000000"/>
                <w:szCs w:val="24"/>
              </w:rPr>
              <w:t>for synchronized TDD blocks</w:t>
            </w:r>
          </w:p>
          <w:p w14:paraId="687B2631" w14:textId="77777777" w:rsidR="002E09CB" w:rsidRDefault="002E09CB" w:rsidP="00E4675C">
            <w:pPr>
              <w:autoSpaceDE w:val="0"/>
              <w:autoSpaceDN w:val="0"/>
              <w:adjustRightInd w:val="0"/>
              <w:spacing w:before="120" w:after="0" w:line="240" w:lineRule="auto"/>
              <w:ind w:firstLine="0"/>
              <w:jc w:val="left"/>
              <w:rPr>
                <w:color w:val="000000"/>
                <w:szCs w:val="24"/>
              </w:rPr>
            </w:pPr>
          </w:p>
          <w:p w14:paraId="57751BD0" w14:textId="77777777" w:rsidR="005F57A4" w:rsidRPr="00DB0B79" w:rsidRDefault="00E4675C" w:rsidP="002E09CB">
            <w:pPr>
              <w:autoSpaceDE w:val="0"/>
              <w:autoSpaceDN w:val="0"/>
              <w:adjustRightInd w:val="0"/>
              <w:spacing w:before="80" w:after="0" w:line="240" w:lineRule="auto"/>
              <w:ind w:firstLine="0"/>
              <w:jc w:val="left"/>
              <w:rPr>
                <w:color w:val="000000"/>
                <w:szCs w:val="24"/>
              </w:rPr>
            </w:pPr>
            <w:r w:rsidRPr="00E4675C">
              <w:rPr>
                <w:color w:val="000000"/>
                <w:szCs w:val="24"/>
              </w:rPr>
              <w:t xml:space="preserve">for </w:t>
            </w:r>
            <w:r w:rsidR="002E09CB">
              <w:rPr>
                <w:color w:val="000000"/>
                <w:szCs w:val="24"/>
              </w:rPr>
              <w:t>un</w:t>
            </w:r>
            <w:r w:rsidRPr="00E4675C">
              <w:rPr>
                <w:color w:val="000000"/>
                <w:szCs w:val="24"/>
              </w:rPr>
              <w:t>synchronized TDD blocks</w:t>
            </w:r>
          </w:p>
        </w:tc>
        <w:tc>
          <w:tcPr>
            <w:tcW w:w="3871" w:type="dxa"/>
          </w:tcPr>
          <w:p w14:paraId="42B8D7A0" w14:textId="77777777" w:rsidR="00DC5F75" w:rsidRPr="00DB0B79" w:rsidRDefault="00DC5F75" w:rsidP="00C106FC">
            <w:pPr>
              <w:autoSpaceDE w:val="0"/>
              <w:autoSpaceDN w:val="0"/>
              <w:adjustRightInd w:val="0"/>
              <w:spacing w:beforeLines="40" w:before="96" w:afterLines="40" w:after="96" w:line="240" w:lineRule="auto"/>
              <w:ind w:firstLine="0"/>
              <w:jc w:val="left"/>
              <w:rPr>
                <w:color w:val="000000"/>
              </w:rPr>
            </w:pPr>
          </w:p>
          <w:p w14:paraId="4834DF87" w14:textId="77777777" w:rsidR="00E4675C" w:rsidRPr="00E4675C" w:rsidRDefault="00E4675C" w:rsidP="00E4675C">
            <w:pPr>
              <w:autoSpaceDE w:val="0"/>
              <w:autoSpaceDN w:val="0"/>
              <w:adjustRightInd w:val="0"/>
              <w:spacing w:beforeLines="100" w:before="240" w:afterLines="40" w:after="96" w:line="240" w:lineRule="auto"/>
              <w:ind w:firstLine="0"/>
              <w:jc w:val="left"/>
              <w:rPr>
                <w:szCs w:val="24"/>
              </w:rPr>
            </w:pPr>
            <w:r w:rsidRPr="00E4675C">
              <w:rPr>
                <w:szCs w:val="24"/>
              </w:rPr>
              <w:t>Min (P</w:t>
            </w:r>
            <w:r w:rsidRPr="00E4675C">
              <w:rPr>
                <w:szCs w:val="24"/>
                <w:vertAlign w:val="subscript"/>
              </w:rPr>
              <w:t>max</w:t>
            </w:r>
            <w:r w:rsidRPr="00E4675C">
              <w:rPr>
                <w:szCs w:val="24"/>
              </w:rPr>
              <w:t xml:space="preserve"> - 43, 13) dBm</w:t>
            </w:r>
            <w:r w:rsidR="00611AC5">
              <w:rPr>
                <w:szCs w:val="24"/>
              </w:rPr>
              <w:t>/</w:t>
            </w:r>
            <w:r w:rsidRPr="00E4675C">
              <w:rPr>
                <w:szCs w:val="24"/>
              </w:rPr>
              <w:t>5 MHz</w:t>
            </w:r>
            <w:r>
              <w:rPr>
                <w:szCs w:val="24"/>
              </w:rPr>
              <w:br/>
            </w:r>
            <w:r w:rsidRPr="00E4675C">
              <w:rPr>
                <w:szCs w:val="24"/>
              </w:rPr>
              <w:t>EIRP per antenna</w:t>
            </w:r>
          </w:p>
          <w:p w14:paraId="2F70260B" w14:textId="77777777" w:rsidR="0054311D" w:rsidRPr="0054311D" w:rsidRDefault="00E4675C" w:rsidP="00E4675C">
            <w:pPr>
              <w:autoSpaceDE w:val="0"/>
              <w:autoSpaceDN w:val="0"/>
              <w:adjustRightInd w:val="0"/>
              <w:spacing w:before="160" w:after="0" w:line="240" w:lineRule="auto"/>
              <w:ind w:firstLine="0"/>
              <w:jc w:val="left"/>
              <w:rPr>
                <w:color w:val="000000"/>
              </w:rPr>
            </w:pPr>
            <w:r w:rsidRPr="00E4675C">
              <w:rPr>
                <w:szCs w:val="24"/>
              </w:rPr>
              <w:t>-34 dBm</w:t>
            </w:r>
            <w:r w:rsidR="00611AC5">
              <w:rPr>
                <w:szCs w:val="24"/>
              </w:rPr>
              <w:t>/</w:t>
            </w:r>
            <w:r w:rsidRPr="00E4675C">
              <w:rPr>
                <w:szCs w:val="24"/>
              </w:rPr>
              <w:t>5 MHz EIRP per cell</w:t>
            </w:r>
          </w:p>
        </w:tc>
      </w:tr>
      <w:tr w:rsidR="007369F8" w:rsidRPr="00DB0B79" w14:paraId="34C7E4F5" w14:textId="77777777" w:rsidTr="0099625D">
        <w:trPr>
          <w:jc w:val="center"/>
        </w:trPr>
        <w:tc>
          <w:tcPr>
            <w:tcW w:w="4500" w:type="dxa"/>
          </w:tcPr>
          <w:p w14:paraId="7C1354A7" w14:textId="77777777" w:rsidR="00E4675C" w:rsidRDefault="0004777F" w:rsidP="00C106FC">
            <w:pPr>
              <w:autoSpaceDE w:val="0"/>
              <w:autoSpaceDN w:val="0"/>
              <w:adjustRightInd w:val="0"/>
              <w:spacing w:afterLines="40" w:after="96" w:line="240" w:lineRule="auto"/>
              <w:ind w:firstLine="0"/>
              <w:jc w:val="left"/>
              <w:rPr>
                <w:color w:val="000000"/>
                <w:szCs w:val="24"/>
                <w:u w:val="single"/>
              </w:rPr>
            </w:pPr>
            <w:r w:rsidRPr="0004777F">
              <w:rPr>
                <w:color w:val="000000"/>
                <w:szCs w:val="24"/>
                <w:u w:val="single"/>
              </w:rPr>
              <w:t>S</w:t>
            </w:r>
            <w:r w:rsidR="00E4675C" w:rsidRPr="0004777F">
              <w:rPr>
                <w:color w:val="000000"/>
                <w:szCs w:val="24"/>
                <w:u w:val="single"/>
              </w:rPr>
              <w:t>pectrum</w:t>
            </w:r>
            <w:r w:rsidR="00E4675C" w:rsidRPr="00E4675C">
              <w:rPr>
                <w:color w:val="000000"/>
                <w:szCs w:val="24"/>
                <w:u w:val="single"/>
              </w:rPr>
              <w:t xml:space="preserve"> below 3400 MHz</w:t>
            </w:r>
          </w:p>
          <w:p w14:paraId="0CA3797E" w14:textId="77777777" w:rsidR="00294AE0" w:rsidRPr="00DB0B79" w:rsidRDefault="00E4675C" w:rsidP="00C106FC">
            <w:pPr>
              <w:autoSpaceDE w:val="0"/>
              <w:autoSpaceDN w:val="0"/>
              <w:adjustRightInd w:val="0"/>
              <w:spacing w:afterLines="40" w:after="96" w:line="240" w:lineRule="auto"/>
              <w:ind w:firstLine="0"/>
              <w:jc w:val="left"/>
              <w:rPr>
                <w:color w:val="000000"/>
                <w:szCs w:val="24"/>
              </w:rPr>
            </w:pPr>
            <w:r w:rsidRPr="00E4675C">
              <w:rPr>
                <w:color w:val="000000"/>
                <w:szCs w:val="24"/>
              </w:rPr>
              <w:t>assigned to radiolocation systems</w:t>
            </w:r>
          </w:p>
        </w:tc>
        <w:tc>
          <w:tcPr>
            <w:tcW w:w="3871" w:type="dxa"/>
          </w:tcPr>
          <w:p w14:paraId="76787CC2" w14:textId="77777777" w:rsidR="00E4675C" w:rsidRDefault="00E4675C" w:rsidP="00C106FC">
            <w:pPr>
              <w:autoSpaceDE w:val="0"/>
              <w:autoSpaceDN w:val="0"/>
              <w:adjustRightInd w:val="0"/>
              <w:spacing w:afterLines="40" w:after="96" w:line="240" w:lineRule="auto"/>
              <w:ind w:firstLine="0"/>
              <w:jc w:val="left"/>
              <w:rPr>
                <w:color w:val="000000"/>
              </w:rPr>
            </w:pPr>
          </w:p>
          <w:p w14:paraId="07572234" w14:textId="77777777" w:rsidR="00294AE0" w:rsidRPr="00DB0B79" w:rsidRDefault="00E4675C" w:rsidP="00C106FC">
            <w:pPr>
              <w:autoSpaceDE w:val="0"/>
              <w:autoSpaceDN w:val="0"/>
              <w:adjustRightInd w:val="0"/>
              <w:spacing w:afterLines="40" w:after="96" w:line="240" w:lineRule="auto"/>
              <w:ind w:firstLine="0"/>
              <w:jc w:val="left"/>
              <w:rPr>
                <w:color w:val="000000"/>
              </w:rPr>
            </w:pPr>
            <w:r w:rsidRPr="00E4675C">
              <w:rPr>
                <w:color w:val="000000"/>
              </w:rPr>
              <w:t>from -59 to -50 dBm</w:t>
            </w:r>
            <w:r w:rsidR="00611AC5">
              <w:rPr>
                <w:color w:val="000000"/>
              </w:rPr>
              <w:t>/</w:t>
            </w:r>
            <w:r w:rsidRPr="00E4675C">
              <w:rPr>
                <w:color w:val="000000"/>
              </w:rPr>
              <w:t>MHz EIRP</w:t>
            </w:r>
          </w:p>
        </w:tc>
      </w:tr>
    </w:tbl>
    <w:p w14:paraId="73A74A17" w14:textId="77777777" w:rsidR="00E4675C" w:rsidRDefault="00E4675C" w:rsidP="002E09CB">
      <w:pPr>
        <w:tabs>
          <w:tab w:val="left" w:pos="600"/>
        </w:tabs>
        <w:spacing w:before="120" w:after="0" w:line="240" w:lineRule="auto"/>
        <w:ind w:firstLine="0"/>
        <w:rPr>
          <w:color w:val="000000"/>
        </w:rPr>
      </w:pPr>
      <w:r w:rsidRPr="00E4675C">
        <w:rPr>
          <w:color w:val="000000"/>
        </w:rPr>
        <w:t>* T</w:t>
      </w:r>
      <w:r>
        <w:rPr>
          <w:color w:val="000000"/>
        </w:rPr>
        <w:t>he value is not strictly limiting</w:t>
      </w:r>
      <w:r w:rsidRPr="00E4675C">
        <w:rPr>
          <w:color w:val="000000"/>
        </w:rPr>
        <w:t>, but is recommended and will be applied in the case of unwanted emissions to the adjacent block assigned to another operator.</w:t>
      </w:r>
    </w:p>
    <w:p w14:paraId="73D2524F" w14:textId="77777777" w:rsidR="00E4675C" w:rsidRPr="00E4675C" w:rsidRDefault="00E4675C" w:rsidP="00E4675C">
      <w:pPr>
        <w:tabs>
          <w:tab w:val="left" w:pos="600"/>
        </w:tabs>
        <w:spacing w:after="0" w:line="240" w:lineRule="auto"/>
        <w:ind w:firstLine="0"/>
        <w:rPr>
          <w:color w:val="000000"/>
        </w:rPr>
      </w:pPr>
    </w:p>
    <w:p w14:paraId="66AC8793" w14:textId="77777777" w:rsidR="00453427" w:rsidRPr="00DB0B79" w:rsidRDefault="00E4675C" w:rsidP="00E4675C">
      <w:pPr>
        <w:tabs>
          <w:tab w:val="left" w:pos="600"/>
        </w:tabs>
        <w:spacing w:after="0" w:line="240" w:lineRule="auto"/>
        <w:ind w:firstLine="0"/>
        <w:rPr>
          <w:color w:val="000000"/>
        </w:rPr>
      </w:pPr>
      <w:r w:rsidRPr="00E4675C">
        <w:rPr>
          <w:color w:val="000000"/>
        </w:rPr>
        <w:t>P</w:t>
      </w:r>
      <w:r w:rsidRPr="00EF647E">
        <w:rPr>
          <w:color w:val="000000"/>
          <w:vertAlign w:val="subscript"/>
        </w:rPr>
        <w:t>max</w:t>
      </w:r>
      <w:r w:rsidRPr="00E4675C">
        <w:rPr>
          <w:color w:val="000000"/>
        </w:rPr>
        <w:t xml:space="preserve"> </w:t>
      </w:r>
      <w:r w:rsidR="002E09CB" w:rsidRPr="00DB0B79">
        <w:rPr>
          <w:color w:val="000000"/>
        </w:rPr>
        <w:t>–</w:t>
      </w:r>
      <w:r w:rsidRPr="00E4675C">
        <w:rPr>
          <w:color w:val="000000"/>
        </w:rPr>
        <w:t xml:space="preserve"> maximum carrier power measured as EIRP</w:t>
      </w:r>
    </w:p>
    <w:p w14:paraId="03D9FB62" w14:textId="77777777" w:rsidR="00624375" w:rsidRDefault="00624375" w:rsidP="00624375">
      <w:pPr>
        <w:tabs>
          <w:tab w:val="left" w:pos="600"/>
        </w:tabs>
        <w:spacing w:after="0" w:line="240" w:lineRule="auto"/>
        <w:ind w:firstLine="0"/>
        <w:rPr>
          <w:color w:val="000000"/>
        </w:rPr>
      </w:pPr>
    </w:p>
    <w:p w14:paraId="5C8D7E12" w14:textId="77777777" w:rsidR="00202632" w:rsidRDefault="00202632" w:rsidP="00624375">
      <w:pPr>
        <w:tabs>
          <w:tab w:val="left" w:pos="600"/>
        </w:tabs>
        <w:spacing w:after="0" w:line="240" w:lineRule="auto"/>
        <w:ind w:firstLine="0"/>
        <w:rPr>
          <w:color w:val="000000"/>
        </w:rPr>
      </w:pPr>
    </w:p>
    <w:p w14:paraId="3B2A5D78" w14:textId="77777777" w:rsidR="00202632" w:rsidRDefault="00202632" w:rsidP="00624375">
      <w:pPr>
        <w:tabs>
          <w:tab w:val="left" w:pos="600"/>
        </w:tabs>
        <w:spacing w:after="0" w:line="240" w:lineRule="auto"/>
        <w:ind w:firstLine="0"/>
        <w:rPr>
          <w:color w:val="000000"/>
        </w:rPr>
      </w:pPr>
    </w:p>
    <w:p w14:paraId="635091C5" w14:textId="77777777" w:rsidR="00824A53" w:rsidRPr="00DB0B79" w:rsidRDefault="00202632" w:rsidP="00202632">
      <w:pPr>
        <w:tabs>
          <w:tab w:val="left" w:pos="600"/>
        </w:tabs>
        <w:spacing w:after="0" w:line="240" w:lineRule="auto"/>
        <w:ind w:firstLine="0"/>
        <w:jc w:val="center"/>
        <w:rPr>
          <w:color w:val="000000"/>
        </w:rPr>
      </w:pPr>
      <w:r>
        <w:drawing>
          <wp:inline distT="0" distB="0" distL="0" distR="0" wp14:anchorId="79F6424F" wp14:editId="775AD000">
            <wp:extent cx="3802380" cy="1698416"/>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38830" cy="1714697"/>
                    </a:xfrm>
                    <a:prstGeom prst="rect">
                      <a:avLst/>
                    </a:prstGeom>
                  </pic:spPr>
                </pic:pic>
              </a:graphicData>
            </a:graphic>
          </wp:inline>
        </w:drawing>
      </w:r>
    </w:p>
    <w:p w14:paraId="24F50FDB" w14:textId="77777777" w:rsidR="00202632" w:rsidRDefault="00202632" w:rsidP="00536300">
      <w:pPr>
        <w:tabs>
          <w:tab w:val="left" w:pos="600"/>
        </w:tabs>
        <w:spacing w:after="0" w:line="240" w:lineRule="auto"/>
        <w:ind w:left="360" w:firstLine="0"/>
        <w:jc w:val="center"/>
        <w:rPr>
          <w:b/>
          <w:color w:val="000000"/>
          <w:sz w:val="20"/>
        </w:rPr>
      </w:pPr>
    </w:p>
    <w:p w14:paraId="686DFD81" w14:textId="77777777" w:rsidR="00294AE0" w:rsidRPr="00BD5820" w:rsidRDefault="00E4675C" w:rsidP="00536300">
      <w:pPr>
        <w:tabs>
          <w:tab w:val="left" w:pos="600"/>
        </w:tabs>
        <w:spacing w:after="0" w:line="240" w:lineRule="auto"/>
        <w:ind w:left="360" w:firstLine="0"/>
        <w:jc w:val="center"/>
        <w:rPr>
          <w:b/>
          <w:color w:val="000000"/>
          <w:sz w:val="20"/>
        </w:rPr>
      </w:pPr>
      <w:r>
        <w:rPr>
          <w:b/>
          <w:color w:val="000000"/>
          <w:sz w:val="20"/>
        </w:rPr>
        <w:t>Figure</w:t>
      </w:r>
      <w:r w:rsidR="00F77576" w:rsidRPr="00BD5820">
        <w:rPr>
          <w:b/>
          <w:color w:val="000000"/>
          <w:sz w:val="20"/>
        </w:rPr>
        <w:t xml:space="preserve"> </w:t>
      </w:r>
      <w:r w:rsidR="00BD5820" w:rsidRPr="00BD5820">
        <w:rPr>
          <w:b/>
          <w:color w:val="000000"/>
          <w:sz w:val="20"/>
        </w:rPr>
        <w:t>2</w:t>
      </w:r>
      <w:r w:rsidR="00F77576" w:rsidRPr="00BD5820">
        <w:rPr>
          <w:b/>
          <w:color w:val="000000"/>
          <w:sz w:val="20"/>
        </w:rPr>
        <w:t xml:space="preserve">: BEM </w:t>
      </w:r>
      <w:r>
        <w:rPr>
          <w:b/>
          <w:color w:val="000000"/>
          <w:sz w:val="20"/>
        </w:rPr>
        <w:t>mask</w:t>
      </w:r>
    </w:p>
    <w:p w14:paraId="5EA31980" w14:textId="77777777" w:rsidR="000E6EF5" w:rsidRDefault="000E6EF5" w:rsidP="00DB3606">
      <w:pPr>
        <w:spacing w:after="0" w:line="288" w:lineRule="auto"/>
        <w:ind w:firstLine="0"/>
        <w:rPr>
          <w:b/>
          <w:color w:val="000000"/>
        </w:rPr>
      </w:pPr>
    </w:p>
    <w:p w14:paraId="321622F6" w14:textId="77777777" w:rsidR="00744126" w:rsidRPr="00DB0B79" w:rsidRDefault="00611AC5" w:rsidP="00744126">
      <w:pPr>
        <w:spacing w:after="0" w:line="288" w:lineRule="auto"/>
        <w:ind w:firstLine="0"/>
        <w:jc w:val="center"/>
        <w:rPr>
          <w:b/>
          <w:color w:val="000000"/>
        </w:rPr>
      </w:pPr>
      <w:r>
        <w:rPr>
          <w:b/>
          <w:color w:val="000000"/>
        </w:rPr>
        <w:lastRenderedPageBreak/>
        <w:t>Article</w:t>
      </w:r>
      <w:r w:rsidR="00744126" w:rsidRPr="00DB0B79">
        <w:rPr>
          <w:b/>
          <w:color w:val="000000"/>
        </w:rPr>
        <w:t xml:space="preserve"> </w:t>
      </w:r>
      <w:r w:rsidR="00FC7B67">
        <w:rPr>
          <w:b/>
          <w:color w:val="000000"/>
        </w:rPr>
        <w:t>5</w:t>
      </w:r>
    </w:p>
    <w:p w14:paraId="1647FA95" w14:textId="77777777" w:rsidR="00744126" w:rsidRPr="00DB0B79" w:rsidRDefault="00744126" w:rsidP="00D629ED">
      <w:pPr>
        <w:spacing w:after="120" w:line="288" w:lineRule="auto"/>
        <w:ind w:firstLine="0"/>
        <w:jc w:val="center"/>
        <w:rPr>
          <w:b/>
          <w:color w:val="000000"/>
        </w:rPr>
      </w:pPr>
      <w:r w:rsidRPr="00DB0B79">
        <w:rPr>
          <w:b/>
          <w:color w:val="000000"/>
        </w:rPr>
        <w:t>(</w:t>
      </w:r>
      <w:r w:rsidR="00E4675C" w:rsidRPr="00E4675C">
        <w:rPr>
          <w:b/>
          <w:color w:val="000000"/>
          <w:szCs w:val="24"/>
        </w:rPr>
        <w:t xml:space="preserve">Use of </w:t>
      </w:r>
      <w:r w:rsidR="00E4675C">
        <w:rPr>
          <w:b/>
          <w:color w:val="000000"/>
          <w:szCs w:val="24"/>
        </w:rPr>
        <w:t>un</w:t>
      </w:r>
      <w:r w:rsidR="00E4675C" w:rsidRPr="00E4675C">
        <w:rPr>
          <w:b/>
          <w:color w:val="000000"/>
          <w:szCs w:val="24"/>
        </w:rPr>
        <w:t>synchronized TDD networks</w:t>
      </w:r>
      <w:r w:rsidRPr="00DB0B79">
        <w:rPr>
          <w:b/>
          <w:color w:val="000000"/>
        </w:rPr>
        <w:t>)</w:t>
      </w:r>
    </w:p>
    <w:p w14:paraId="6264D6FB" w14:textId="77777777" w:rsidR="00E4675C" w:rsidRPr="00E4675C" w:rsidRDefault="00EF647E" w:rsidP="0080369F">
      <w:pPr>
        <w:pStyle w:val="ListParagraph"/>
        <w:numPr>
          <w:ilvl w:val="0"/>
          <w:numId w:val="29"/>
        </w:numPr>
        <w:spacing w:beforeLines="40" w:before="96" w:afterLines="40" w:after="96" w:line="288" w:lineRule="auto"/>
        <w:rPr>
          <w:color w:val="000000"/>
        </w:rPr>
      </w:pPr>
      <w:r>
        <w:rPr>
          <w:color w:val="000000"/>
        </w:rPr>
        <w:t>Uninterrupted operation of un</w:t>
      </w:r>
      <w:r w:rsidR="00E4675C" w:rsidRPr="00E4675C">
        <w:rPr>
          <w:color w:val="000000"/>
        </w:rPr>
        <w:t xml:space="preserve">synchronized networks on adjacent TDD blocks in the same geographical area </w:t>
      </w:r>
      <w:r w:rsidR="00E4675C" w:rsidRPr="0004777F">
        <w:rPr>
          <w:color w:val="000000"/>
        </w:rPr>
        <w:t>is ensured</w:t>
      </w:r>
      <w:r w:rsidR="00E4675C" w:rsidRPr="00E4675C">
        <w:rPr>
          <w:color w:val="000000"/>
        </w:rPr>
        <w:t xml:space="preserve"> under the following conditions:</w:t>
      </w:r>
    </w:p>
    <w:p w14:paraId="51984582" w14:textId="77777777" w:rsidR="00E4675C" w:rsidRPr="00E4675C" w:rsidRDefault="00E4675C" w:rsidP="0080369F">
      <w:pPr>
        <w:pStyle w:val="ListParagraph"/>
        <w:numPr>
          <w:ilvl w:val="0"/>
          <w:numId w:val="27"/>
        </w:numPr>
        <w:spacing w:beforeLines="40" w:before="96" w:afterLines="40" w:after="96" w:line="288" w:lineRule="auto"/>
        <w:rPr>
          <w:color w:val="000000"/>
        </w:rPr>
      </w:pPr>
      <w:r w:rsidRPr="00E4675C">
        <w:rPr>
          <w:color w:val="000000"/>
        </w:rPr>
        <w:t xml:space="preserve">introducing a minimum 5 MHz </w:t>
      </w:r>
      <w:r w:rsidR="0080369F">
        <w:rPr>
          <w:color w:val="000000"/>
        </w:rPr>
        <w:t>guard</w:t>
      </w:r>
      <w:r w:rsidRPr="00E4675C">
        <w:rPr>
          <w:color w:val="000000"/>
        </w:rPr>
        <w:t xml:space="preserve"> band between adjacent blocks </w:t>
      </w:r>
      <w:r w:rsidR="0080369F">
        <w:rPr>
          <w:color w:val="000000"/>
        </w:rPr>
        <w:t>assigned</w:t>
      </w:r>
      <w:r w:rsidRPr="00E4675C">
        <w:rPr>
          <w:color w:val="000000"/>
        </w:rPr>
        <w:t xml:space="preserve"> to different operators (the </w:t>
      </w:r>
      <w:r w:rsidR="0080369F">
        <w:rPr>
          <w:color w:val="000000"/>
        </w:rPr>
        <w:t>guard</w:t>
      </w:r>
      <w:r w:rsidRPr="00E4675C">
        <w:rPr>
          <w:color w:val="000000"/>
        </w:rPr>
        <w:t xml:space="preserve"> band is determined by </w:t>
      </w:r>
      <w:r w:rsidR="00EF647E">
        <w:rPr>
          <w:color w:val="000000"/>
        </w:rPr>
        <w:t xml:space="preserve">the Agency when granting </w:t>
      </w:r>
      <w:r w:rsidR="00EF647E" w:rsidRPr="0004777F">
        <w:rPr>
          <w:color w:val="000000"/>
        </w:rPr>
        <w:t>licen</w:t>
      </w:r>
      <w:r w:rsidR="0004777F">
        <w:rPr>
          <w:color w:val="000000"/>
        </w:rPr>
        <w:t>s</w:t>
      </w:r>
      <w:r w:rsidR="00EF647E" w:rsidRPr="0004777F">
        <w:rPr>
          <w:color w:val="000000"/>
        </w:rPr>
        <w:t>es</w:t>
      </w:r>
      <w:r w:rsidRPr="00E4675C">
        <w:rPr>
          <w:color w:val="000000"/>
        </w:rPr>
        <w:t xml:space="preserve"> for a specific geographical area);</w:t>
      </w:r>
    </w:p>
    <w:p w14:paraId="59AF5C66" w14:textId="77777777" w:rsidR="00E4675C" w:rsidRPr="00E4675C" w:rsidRDefault="00E4675C" w:rsidP="0080369F">
      <w:pPr>
        <w:pStyle w:val="ListParagraph"/>
        <w:numPr>
          <w:ilvl w:val="0"/>
          <w:numId w:val="27"/>
        </w:numPr>
        <w:spacing w:beforeLines="40" w:before="96" w:afterLines="40" w:after="96" w:line="288" w:lineRule="auto"/>
        <w:rPr>
          <w:color w:val="000000"/>
        </w:rPr>
      </w:pPr>
      <w:r w:rsidRPr="00E4675C">
        <w:rPr>
          <w:color w:val="000000"/>
        </w:rPr>
        <w:t xml:space="preserve">using </w:t>
      </w:r>
      <w:r w:rsidR="0080369F">
        <w:rPr>
          <w:color w:val="000000"/>
        </w:rPr>
        <w:t>adjacent</w:t>
      </w:r>
      <w:r w:rsidRPr="00E4675C">
        <w:rPr>
          <w:color w:val="000000"/>
        </w:rPr>
        <w:t xml:space="preserve"> restrictive sub-blocks of 5 MHz at the </w:t>
      </w:r>
      <w:r w:rsidR="0080369F">
        <w:rPr>
          <w:color w:val="000000"/>
        </w:rPr>
        <w:t>edge</w:t>
      </w:r>
      <w:r w:rsidRPr="00E4675C">
        <w:rPr>
          <w:color w:val="000000"/>
        </w:rPr>
        <w:t xml:space="preserve"> of blocks assigned to different operators with EIRP limit of 4 dBm</w:t>
      </w:r>
      <w:r w:rsidR="00611AC5">
        <w:rPr>
          <w:color w:val="000000"/>
        </w:rPr>
        <w:t>/</w:t>
      </w:r>
      <w:r w:rsidRPr="00E4675C">
        <w:rPr>
          <w:color w:val="000000"/>
        </w:rPr>
        <w:t>5MHz per cell;</w:t>
      </w:r>
    </w:p>
    <w:p w14:paraId="37789C88" w14:textId="77777777" w:rsidR="00E4675C" w:rsidRPr="00E4675C" w:rsidRDefault="00EF647E" w:rsidP="0080369F">
      <w:pPr>
        <w:pStyle w:val="ListParagraph"/>
        <w:numPr>
          <w:ilvl w:val="0"/>
          <w:numId w:val="27"/>
        </w:numPr>
        <w:spacing w:beforeLines="40" w:before="96" w:afterLines="40" w:after="96" w:line="288" w:lineRule="auto"/>
        <w:rPr>
          <w:color w:val="000000"/>
        </w:rPr>
      </w:pPr>
      <w:r>
        <w:rPr>
          <w:color w:val="000000"/>
        </w:rPr>
        <w:t xml:space="preserve">no </w:t>
      </w:r>
      <w:r w:rsidR="0080369F">
        <w:rPr>
          <w:color w:val="000000"/>
        </w:rPr>
        <w:t>guard</w:t>
      </w:r>
      <w:r>
        <w:rPr>
          <w:color w:val="000000"/>
        </w:rPr>
        <w:t xml:space="preserve"> band</w:t>
      </w:r>
      <w:r w:rsidR="00E4675C" w:rsidRPr="00E4675C">
        <w:rPr>
          <w:color w:val="000000"/>
        </w:rPr>
        <w:t xml:space="preserve"> and restrictive sub</w:t>
      </w:r>
      <w:r w:rsidR="0080369F">
        <w:rPr>
          <w:color w:val="000000"/>
        </w:rPr>
        <w:t>-</w:t>
      </w:r>
      <w:r w:rsidR="00E4675C" w:rsidRPr="00E4675C">
        <w:rPr>
          <w:color w:val="000000"/>
        </w:rPr>
        <w:t xml:space="preserve">blocks if operators provide the EIRP limit of the baseline from table </w:t>
      </w:r>
      <w:r w:rsidR="0080369F">
        <w:rPr>
          <w:color w:val="000000"/>
        </w:rPr>
        <w:t xml:space="preserve">in Article </w:t>
      </w:r>
      <w:r w:rsidR="00E4675C" w:rsidRPr="00E4675C">
        <w:rPr>
          <w:color w:val="000000"/>
        </w:rPr>
        <w:t xml:space="preserve">4 of this Rule at the </w:t>
      </w:r>
      <w:r w:rsidR="0080369F">
        <w:rPr>
          <w:color w:val="000000"/>
        </w:rPr>
        <w:t>edge</w:t>
      </w:r>
      <w:r w:rsidR="00E4675C" w:rsidRPr="00E4675C">
        <w:rPr>
          <w:color w:val="000000"/>
        </w:rPr>
        <w:t xml:space="preserve"> of its </w:t>
      </w:r>
      <w:r w:rsidR="0080369F">
        <w:rPr>
          <w:color w:val="000000"/>
        </w:rPr>
        <w:t xml:space="preserve">own </w:t>
      </w:r>
      <w:r w:rsidR="00E4675C" w:rsidRPr="00E4675C">
        <w:rPr>
          <w:color w:val="000000"/>
        </w:rPr>
        <w:t>block.</w:t>
      </w:r>
    </w:p>
    <w:p w14:paraId="2919E154" w14:textId="77777777" w:rsidR="00E4675C" w:rsidRPr="00E4675C" w:rsidRDefault="00EF647E" w:rsidP="0080369F">
      <w:pPr>
        <w:pStyle w:val="ListParagraph"/>
        <w:numPr>
          <w:ilvl w:val="0"/>
          <w:numId w:val="29"/>
        </w:numPr>
        <w:spacing w:beforeLines="40" w:before="96" w:afterLines="40" w:after="96" w:line="288" w:lineRule="auto"/>
        <w:rPr>
          <w:color w:val="000000"/>
        </w:rPr>
      </w:pPr>
      <w:r>
        <w:rPr>
          <w:color w:val="000000"/>
        </w:rPr>
        <w:t xml:space="preserve">Within the </w:t>
      </w:r>
      <w:r w:rsidR="0080369F">
        <w:rPr>
          <w:color w:val="000000"/>
        </w:rPr>
        <w:t>guard</w:t>
      </w:r>
      <w:r w:rsidR="00E4675C" w:rsidRPr="00E4675C">
        <w:rPr>
          <w:color w:val="000000"/>
        </w:rPr>
        <w:t xml:space="preserve"> </w:t>
      </w:r>
      <w:r>
        <w:rPr>
          <w:color w:val="000000"/>
        </w:rPr>
        <w:t xml:space="preserve">band </w:t>
      </w:r>
      <w:r w:rsidR="00E4675C" w:rsidRPr="00E4675C">
        <w:rPr>
          <w:color w:val="000000"/>
        </w:rPr>
        <w:t>and restrictive sub</w:t>
      </w:r>
      <w:r w:rsidR="0080369F">
        <w:rPr>
          <w:color w:val="000000"/>
        </w:rPr>
        <w:t>-</w:t>
      </w:r>
      <w:r w:rsidR="00E4675C" w:rsidRPr="00E4675C">
        <w:rPr>
          <w:color w:val="000000"/>
        </w:rPr>
        <w:t xml:space="preserve">blocks referred to in paragraph (1) of this Article, the EIRP </w:t>
      </w:r>
      <w:r w:rsidR="0080369F">
        <w:rPr>
          <w:color w:val="000000"/>
        </w:rPr>
        <w:t>limits</w:t>
      </w:r>
      <w:r w:rsidR="00E4675C" w:rsidRPr="00E4675C">
        <w:rPr>
          <w:color w:val="000000"/>
        </w:rPr>
        <w:t xml:space="preserve"> for the tran</w:t>
      </w:r>
      <w:r>
        <w:rPr>
          <w:color w:val="000000"/>
        </w:rPr>
        <w:t>sition</w:t>
      </w:r>
      <w:r w:rsidR="0080369F">
        <w:rPr>
          <w:color w:val="000000"/>
        </w:rPr>
        <w:t>al</w:t>
      </w:r>
      <w:r>
        <w:rPr>
          <w:color w:val="000000"/>
        </w:rPr>
        <w:t xml:space="preserve"> </w:t>
      </w:r>
      <w:r w:rsidR="0080369F">
        <w:rPr>
          <w:color w:val="000000"/>
        </w:rPr>
        <w:t>region</w:t>
      </w:r>
      <w:r>
        <w:rPr>
          <w:color w:val="000000"/>
        </w:rPr>
        <w:t xml:space="preserve"> shall apply from</w:t>
      </w:r>
      <w:r w:rsidR="00E4675C" w:rsidRPr="00E4675C">
        <w:rPr>
          <w:color w:val="000000"/>
        </w:rPr>
        <w:t xml:space="preserve"> </w:t>
      </w:r>
      <w:r w:rsidR="0004777F">
        <w:rPr>
          <w:color w:val="000000"/>
        </w:rPr>
        <w:t xml:space="preserve">the </w:t>
      </w:r>
      <w:r w:rsidR="00E4675C" w:rsidRPr="0004777F">
        <w:rPr>
          <w:color w:val="000000"/>
        </w:rPr>
        <w:t>table</w:t>
      </w:r>
      <w:r w:rsidR="00E4675C" w:rsidRPr="00E4675C">
        <w:rPr>
          <w:color w:val="000000"/>
        </w:rPr>
        <w:t xml:space="preserve"> in Article 4 of this Rule.</w:t>
      </w:r>
    </w:p>
    <w:p w14:paraId="60E617C6" w14:textId="77777777" w:rsidR="00744126" w:rsidRPr="00E4675C" w:rsidRDefault="00EF647E" w:rsidP="0080369F">
      <w:pPr>
        <w:pStyle w:val="ListParagraph"/>
        <w:numPr>
          <w:ilvl w:val="0"/>
          <w:numId w:val="29"/>
        </w:numPr>
        <w:spacing w:beforeLines="40" w:before="96" w:afterLines="40" w:after="96" w:line="288" w:lineRule="auto"/>
        <w:rPr>
          <w:b/>
          <w:color w:val="000000"/>
        </w:rPr>
      </w:pPr>
      <w:r>
        <w:rPr>
          <w:color w:val="000000"/>
        </w:rPr>
        <w:t>For the operation of un</w:t>
      </w:r>
      <w:r w:rsidR="00E4675C" w:rsidRPr="00E4675C">
        <w:rPr>
          <w:color w:val="000000"/>
        </w:rPr>
        <w:t>synchronized network</w:t>
      </w:r>
      <w:r>
        <w:rPr>
          <w:color w:val="000000"/>
        </w:rPr>
        <w:t>s</w:t>
      </w:r>
      <w:r w:rsidR="00E4675C" w:rsidRPr="00E4675C">
        <w:rPr>
          <w:color w:val="000000"/>
        </w:rPr>
        <w:t xml:space="preserve"> on adjacent blocks in the same geo</w:t>
      </w:r>
      <w:r w:rsidR="0080369F">
        <w:rPr>
          <w:color w:val="000000"/>
        </w:rPr>
        <w:t xml:space="preserve">graphical area, </w:t>
      </w:r>
      <w:r w:rsidR="00E4675C" w:rsidRPr="00E4675C">
        <w:rPr>
          <w:color w:val="000000"/>
        </w:rPr>
        <w:t xml:space="preserve">any less restrictive conditions or internal </w:t>
      </w:r>
      <w:r w:rsidR="0080369F">
        <w:rPr>
          <w:color w:val="000000"/>
        </w:rPr>
        <w:t>guard</w:t>
      </w:r>
      <w:r w:rsidR="00E4675C" w:rsidRPr="00E4675C">
        <w:rPr>
          <w:color w:val="000000"/>
        </w:rPr>
        <w:t xml:space="preserve"> bands that the operators agree with by bilateral agreement</w:t>
      </w:r>
      <w:r w:rsidR="00775371">
        <w:rPr>
          <w:color w:val="000000"/>
        </w:rPr>
        <w:t xml:space="preserve"> are allowed</w:t>
      </w:r>
      <w:r w:rsidR="00E4675C" w:rsidRPr="00E4675C">
        <w:rPr>
          <w:color w:val="000000"/>
        </w:rPr>
        <w:t>.</w:t>
      </w:r>
    </w:p>
    <w:p w14:paraId="762AF2F9" w14:textId="77777777" w:rsidR="007A7359" w:rsidRDefault="007A7359" w:rsidP="00942E47">
      <w:pPr>
        <w:spacing w:after="0" w:line="288" w:lineRule="auto"/>
        <w:ind w:firstLine="0"/>
        <w:jc w:val="center"/>
        <w:rPr>
          <w:b/>
          <w:color w:val="000000"/>
        </w:rPr>
      </w:pPr>
    </w:p>
    <w:p w14:paraId="68B837CF" w14:textId="77777777" w:rsidR="00513BAD" w:rsidRPr="00DB0B79" w:rsidRDefault="00611AC5" w:rsidP="00513BAD">
      <w:pPr>
        <w:spacing w:after="0" w:line="288" w:lineRule="auto"/>
        <w:ind w:firstLine="0"/>
        <w:jc w:val="center"/>
        <w:rPr>
          <w:b/>
          <w:color w:val="000000"/>
        </w:rPr>
      </w:pPr>
      <w:r>
        <w:rPr>
          <w:b/>
          <w:color w:val="000000"/>
        </w:rPr>
        <w:t>Article</w:t>
      </w:r>
      <w:r w:rsidR="00256A6C">
        <w:rPr>
          <w:b/>
          <w:color w:val="000000"/>
        </w:rPr>
        <w:t xml:space="preserve"> </w:t>
      </w:r>
      <w:r w:rsidR="00FC7B67">
        <w:rPr>
          <w:b/>
          <w:color w:val="000000"/>
        </w:rPr>
        <w:t>6</w:t>
      </w:r>
    </w:p>
    <w:p w14:paraId="7E41FC0D" w14:textId="77777777" w:rsidR="00513BAD" w:rsidRPr="00DB0B79" w:rsidRDefault="00513BAD" w:rsidP="00D629ED">
      <w:pPr>
        <w:spacing w:after="120" w:line="288" w:lineRule="auto"/>
        <w:ind w:firstLine="0"/>
        <w:jc w:val="center"/>
        <w:rPr>
          <w:b/>
          <w:color w:val="000000"/>
        </w:rPr>
      </w:pPr>
      <w:r w:rsidRPr="00DB0B79">
        <w:rPr>
          <w:b/>
          <w:color w:val="000000"/>
        </w:rPr>
        <w:t>(</w:t>
      </w:r>
      <w:r w:rsidR="00E4675C" w:rsidRPr="00E4675C">
        <w:rPr>
          <w:b/>
          <w:color w:val="000000"/>
          <w:szCs w:val="24"/>
        </w:rPr>
        <w:t>Use of synchronized TDD networks</w:t>
      </w:r>
      <w:r w:rsidRPr="00DB0B79">
        <w:rPr>
          <w:b/>
          <w:color w:val="000000"/>
        </w:rPr>
        <w:t>)</w:t>
      </w:r>
    </w:p>
    <w:p w14:paraId="446F8897" w14:textId="77777777" w:rsidR="00E4675C" w:rsidRDefault="00E4675C" w:rsidP="00E4675C">
      <w:pPr>
        <w:pStyle w:val="ListParagraph"/>
        <w:numPr>
          <w:ilvl w:val="0"/>
          <w:numId w:val="25"/>
        </w:numPr>
        <w:spacing w:after="0" w:line="288" w:lineRule="auto"/>
        <w:rPr>
          <w:color w:val="000000"/>
        </w:rPr>
      </w:pPr>
      <w:r w:rsidRPr="00E4675C">
        <w:rPr>
          <w:color w:val="000000"/>
        </w:rPr>
        <w:t>For the operation of synchronized networks on adjacent TDD blocks in the same geographic</w:t>
      </w:r>
      <w:r w:rsidR="00775371">
        <w:rPr>
          <w:color w:val="000000"/>
        </w:rPr>
        <w:t>al</w:t>
      </w:r>
      <w:r w:rsidRPr="00E4675C">
        <w:rPr>
          <w:color w:val="000000"/>
        </w:rPr>
        <w:t xml:space="preserve"> area, no external </w:t>
      </w:r>
      <w:r w:rsidR="0080369F">
        <w:rPr>
          <w:color w:val="000000"/>
        </w:rPr>
        <w:t>guard</w:t>
      </w:r>
      <w:r w:rsidRPr="00E4675C">
        <w:rPr>
          <w:color w:val="000000"/>
        </w:rPr>
        <w:t xml:space="preserve"> </w:t>
      </w:r>
      <w:r w:rsidR="0080369F">
        <w:rPr>
          <w:color w:val="000000"/>
        </w:rPr>
        <w:t>bands</w:t>
      </w:r>
      <w:r w:rsidRPr="00E4675C">
        <w:rPr>
          <w:color w:val="000000"/>
        </w:rPr>
        <w:t xml:space="preserve"> at the </w:t>
      </w:r>
      <w:r w:rsidR="0080369F">
        <w:rPr>
          <w:color w:val="000000"/>
        </w:rPr>
        <w:t>edge</w:t>
      </w:r>
      <w:r w:rsidRPr="00E4675C">
        <w:rPr>
          <w:color w:val="000000"/>
        </w:rPr>
        <w:t xml:space="preserve"> of the </w:t>
      </w:r>
      <w:r w:rsidR="0080369F">
        <w:rPr>
          <w:color w:val="000000"/>
        </w:rPr>
        <w:t>assigned</w:t>
      </w:r>
      <w:r w:rsidRPr="00E4675C">
        <w:rPr>
          <w:color w:val="000000"/>
        </w:rPr>
        <w:t xml:space="preserve"> blocks </w:t>
      </w:r>
      <w:r w:rsidRPr="0004777F">
        <w:rPr>
          <w:color w:val="000000"/>
        </w:rPr>
        <w:t>are applied</w:t>
      </w:r>
      <w:r w:rsidRPr="00E4675C">
        <w:rPr>
          <w:color w:val="000000"/>
        </w:rPr>
        <w:t>.</w:t>
      </w:r>
    </w:p>
    <w:p w14:paraId="05D7EB17" w14:textId="77777777" w:rsidR="00E4675C" w:rsidRDefault="00E4675C" w:rsidP="00E4675C">
      <w:pPr>
        <w:pStyle w:val="ListParagraph"/>
        <w:spacing w:after="0" w:line="288" w:lineRule="auto"/>
        <w:ind w:left="360" w:firstLine="0"/>
        <w:rPr>
          <w:color w:val="000000"/>
        </w:rPr>
      </w:pPr>
    </w:p>
    <w:p w14:paraId="476289DA" w14:textId="77777777" w:rsidR="00744126" w:rsidRPr="00E4675C" w:rsidRDefault="00E4675C" w:rsidP="00E4675C">
      <w:pPr>
        <w:pStyle w:val="ListParagraph"/>
        <w:numPr>
          <w:ilvl w:val="0"/>
          <w:numId w:val="25"/>
        </w:numPr>
        <w:spacing w:after="0" w:line="288" w:lineRule="auto"/>
        <w:rPr>
          <w:color w:val="000000"/>
        </w:rPr>
      </w:pPr>
      <w:r w:rsidRPr="00E4675C">
        <w:rPr>
          <w:color w:val="000000"/>
        </w:rPr>
        <w:t xml:space="preserve">For synchronized TDD networks, the EIRP limit defined for the transitional </w:t>
      </w:r>
      <w:r w:rsidR="00BC25C9">
        <w:rPr>
          <w:color w:val="000000"/>
        </w:rPr>
        <w:t>region</w:t>
      </w:r>
      <w:r w:rsidRPr="00E4675C">
        <w:rPr>
          <w:color w:val="000000"/>
        </w:rPr>
        <w:t xml:space="preserve"> shall </w:t>
      </w:r>
      <w:r w:rsidRPr="0004777F">
        <w:rPr>
          <w:color w:val="000000"/>
        </w:rPr>
        <w:t>be applied</w:t>
      </w:r>
      <w:r w:rsidRPr="00E4675C">
        <w:rPr>
          <w:color w:val="000000"/>
        </w:rPr>
        <w:t xml:space="preserve"> within the adjacent block assigned to another operator.</w:t>
      </w:r>
    </w:p>
    <w:p w14:paraId="2A4F4863" w14:textId="77777777" w:rsidR="007A7359" w:rsidRDefault="007A7359" w:rsidP="00942E47">
      <w:pPr>
        <w:spacing w:after="0" w:line="288" w:lineRule="auto"/>
        <w:ind w:firstLine="0"/>
        <w:jc w:val="center"/>
        <w:rPr>
          <w:b/>
          <w:color w:val="000000"/>
        </w:rPr>
      </w:pPr>
    </w:p>
    <w:p w14:paraId="3E98CFC9" w14:textId="77777777" w:rsidR="00202632" w:rsidRDefault="00202632" w:rsidP="00942E47">
      <w:pPr>
        <w:spacing w:after="0" w:line="288" w:lineRule="auto"/>
        <w:ind w:firstLine="0"/>
        <w:jc w:val="center"/>
        <w:rPr>
          <w:b/>
          <w:color w:val="000000"/>
        </w:rPr>
      </w:pPr>
    </w:p>
    <w:p w14:paraId="07683959" w14:textId="77777777" w:rsidR="00942E47" w:rsidRPr="00DB0B79" w:rsidRDefault="00611AC5" w:rsidP="00942E47">
      <w:pPr>
        <w:spacing w:after="0" w:line="288" w:lineRule="auto"/>
        <w:ind w:firstLine="0"/>
        <w:jc w:val="center"/>
        <w:rPr>
          <w:b/>
          <w:color w:val="000000"/>
        </w:rPr>
      </w:pPr>
      <w:r>
        <w:rPr>
          <w:b/>
          <w:color w:val="000000"/>
        </w:rPr>
        <w:t>Article</w:t>
      </w:r>
      <w:r w:rsidR="00942E47" w:rsidRPr="00DB0B79">
        <w:rPr>
          <w:b/>
          <w:color w:val="000000"/>
        </w:rPr>
        <w:t xml:space="preserve"> </w:t>
      </w:r>
      <w:r w:rsidR="00FC7B67">
        <w:rPr>
          <w:b/>
          <w:color w:val="000000"/>
        </w:rPr>
        <w:t>7</w:t>
      </w:r>
    </w:p>
    <w:p w14:paraId="446CD151" w14:textId="77777777" w:rsidR="00942E47" w:rsidRPr="00DB0B79" w:rsidRDefault="00942E47" w:rsidP="00E43E61">
      <w:pPr>
        <w:spacing w:after="120" w:line="288" w:lineRule="auto"/>
        <w:ind w:firstLine="0"/>
        <w:jc w:val="center"/>
        <w:rPr>
          <w:b/>
          <w:color w:val="000000"/>
        </w:rPr>
      </w:pPr>
      <w:r w:rsidRPr="00DB0B79">
        <w:rPr>
          <w:b/>
          <w:color w:val="000000"/>
        </w:rPr>
        <w:t>(</w:t>
      </w:r>
      <w:r w:rsidR="00E4675C" w:rsidRPr="00E4675C">
        <w:rPr>
          <w:b/>
          <w:color w:val="000000"/>
          <w:szCs w:val="24"/>
        </w:rPr>
        <w:t xml:space="preserve">Technical requirements for </w:t>
      </w:r>
      <w:r w:rsidR="00BC25C9">
        <w:rPr>
          <w:b/>
          <w:color w:val="000000"/>
          <w:szCs w:val="24"/>
        </w:rPr>
        <w:t>terminal</w:t>
      </w:r>
      <w:r w:rsidR="00E4675C" w:rsidRPr="00E4675C">
        <w:rPr>
          <w:b/>
          <w:color w:val="000000"/>
          <w:szCs w:val="24"/>
        </w:rPr>
        <w:t xml:space="preserve"> stations</w:t>
      </w:r>
      <w:r w:rsidR="00BC25C9">
        <w:rPr>
          <w:b/>
          <w:color w:val="000000"/>
          <w:szCs w:val="24"/>
        </w:rPr>
        <w:t xml:space="preserve"> </w:t>
      </w:r>
      <w:r w:rsidR="00E4675C" w:rsidRPr="00E4675C">
        <w:rPr>
          <w:b/>
          <w:color w:val="000000"/>
          <w:szCs w:val="24"/>
        </w:rPr>
        <w:t>/</w:t>
      </w:r>
      <w:r w:rsidR="00BC25C9">
        <w:rPr>
          <w:b/>
          <w:color w:val="000000"/>
          <w:szCs w:val="24"/>
        </w:rPr>
        <w:t xml:space="preserve"> </w:t>
      </w:r>
      <w:r w:rsidR="00E4675C" w:rsidRPr="00E4675C">
        <w:rPr>
          <w:b/>
          <w:color w:val="000000"/>
          <w:szCs w:val="24"/>
        </w:rPr>
        <w:t>user equipment</w:t>
      </w:r>
      <w:r w:rsidRPr="00DB0B79">
        <w:rPr>
          <w:b/>
          <w:color w:val="000000"/>
        </w:rPr>
        <w:t>)</w:t>
      </w:r>
    </w:p>
    <w:p w14:paraId="1DA6DCEE" w14:textId="77777777" w:rsidR="00E4675C" w:rsidRPr="00E4675C" w:rsidRDefault="00E4675C" w:rsidP="00E4675C">
      <w:pPr>
        <w:pStyle w:val="ListParagraph"/>
        <w:numPr>
          <w:ilvl w:val="0"/>
          <w:numId w:val="26"/>
        </w:numPr>
        <w:spacing w:after="0" w:line="288" w:lineRule="auto"/>
        <w:rPr>
          <w:color w:val="000000"/>
        </w:rPr>
      </w:pPr>
      <w:r w:rsidRPr="00E4675C">
        <w:rPr>
          <w:color w:val="000000"/>
        </w:rPr>
        <w:t xml:space="preserve">The upper limit for the power of the </w:t>
      </w:r>
      <w:r w:rsidR="00BC25C9" w:rsidRPr="00BC25C9">
        <w:rPr>
          <w:color w:val="000000"/>
          <w:szCs w:val="24"/>
        </w:rPr>
        <w:t>terminal</w:t>
      </w:r>
      <w:r w:rsidRPr="00BC25C9">
        <w:rPr>
          <w:color w:val="000000"/>
        </w:rPr>
        <w:t xml:space="preserve"> </w:t>
      </w:r>
      <w:r w:rsidRPr="00E4675C">
        <w:rPr>
          <w:color w:val="000000"/>
        </w:rPr>
        <w:t>station</w:t>
      </w:r>
      <w:r w:rsidR="00BC25C9">
        <w:rPr>
          <w:color w:val="000000"/>
        </w:rPr>
        <w:t xml:space="preserve"> </w:t>
      </w:r>
      <w:r w:rsidR="00611AC5">
        <w:rPr>
          <w:color w:val="000000"/>
        </w:rPr>
        <w:t>/</w:t>
      </w:r>
      <w:r w:rsidR="00BC25C9">
        <w:rPr>
          <w:color w:val="000000"/>
        </w:rPr>
        <w:t xml:space="preserve"> </w:t>
      </w:r>
      <w:r w:rsidRPr="00E4675C">
        <w:rPr>
          <w:color w:val="000000"/>
        </w:rPr>
        <w:t xml:space="preserve">user equipment in the </w:t>
      </w:r>
      <w:r w:rsidR="00BC25C9">
        <w:rPr>
          <w:color w:val="000000"/>
        </w:rPr>
        <w:t>assigned</w:t>
      </w:r>
      <w:r w:rsidRPr="00E4675C">
        <w:rPr>
          <w:color w:val="000000"/>
        </w:rPr>
        <w:t xml:space="preserve"> block is 25 dBm.</w:t>
      </w:r>
    </w:p>
    <w:p w14:paraId="25765B66" w14:textId="77777777" w:rsidR="00E4675C" w:rsidRPr="00E4675C" w:rsidRDefault="00BC25C9" w:rsidP="00E4675C">
      <w:pPr>
        <w:pStyle w:val="ListParagraph"/>
        <w:numPr>
          <w:ilvl w:val="0"/>
          <w:numId w:val="26"/>
        </w:numPr>
        <w:spacing w:after="0" w:line="288" w:lineRule="auto"/>
        <w:rPr>
          <w:color w:val="000000"/>
        </w:rPr>
      </w:pPr>
      <w:r w:rsidRPr="00747F93">
        <w:t xml:space="preserve">The power limit referred to in paragraph (1) of this Article is </w:t>
      </w:r>
      <w:r>
        <w:t>EIRP for terminal station designed to be fixed or installed and as TRP for terminal station designed to be mobile or nomadic</w:t>
      </w:r>
      <w:r w:rsidR="00E4675C" w:rsidRPr="00E4675C">
        <w:rPr>
          <w:color w:val="000000"/>
        </w:rPr>
        <w:t>.</w:t>
      </w:r>
    </w:p>
    <w:p w14:paraId="489D0FBA" w14:textId="77777777" w:rsidR="004F1CC1" w:rsidRPr="00E4675C" w:rsidRDefault="00E4675C" w:rsidP="00E4675C">
      <w:pPr>
        <w:pStyle w:val="ListParagraph"/>
        <w:numPr>
          <w:ilvl w:val="0"/>
          <w:numId w:val="26"/>
        </w:numPr>
        <w:spacing w:after="0" w:line="288" w:lineRule="auto"/>
        <w:rPr>
          <w:color w:val="000000"/>
        </w:rPr>
      </w:pPr>
      <w:r w:rsidRPr="00E4675C">
        <w:rPr>
          <w:color w:val="000000"/>
        </w:rPr>
        <w:t xml:space="preserve">Tolerance up to </w:t>
      </w:r>
      <w:r w:rsidR="00775371">
        <w:rPr>
          <w:color w:val="000000"/>
        </w:rPr>
        <w:t>+</w:t>
      </w:r>
      <w:r w:rsidRPr="00E4675C">
        <w:rPr>
          <w:color w:val="000000"/>
        </w:rPr>
        <w:t xml:space="preserve">2 dB </w:t>
      </w:r>
      <w:r w:rsidRPr="0004777F">
        <w:rPr>
          <w:color w:val="000000"/>
        </w:rPr>
        <w:t>is included</w:t>
      </w:r>
      <w:r w:rsidRPr="00E4675C">
        <w:rPr>
          <w:color w:val="000000"/>
        </w:rPr>
        <w:t xml:space="preserve"> in the limit referr</w:t>
      </w:r>
      <w:r w:rsidR="00775371">
        <w:rPr>
          <w:color w:val="000000"/>
        </w:rPr>
        <w:t>ed to in paragraph (1) of this A</w:t>
      </w:r>
      <w:r w:rsidRPr="00E4675C">
        <w:rPr>
          <w:color w:val="000000"/>
        </w:rPr>
        <w:t xml:space="preserve">rticle for work under extreme operating </w:t>
      </w:r>
      <w:r w:rsidR="00775371">
        <w:rPr>
          <w:color w:val="000000"/>
        </w:rPr>
        <w:t xml:space="preserve">speed or environmental </w:t>
      </w:r>
      <w:r w:rsidRPr="00E4675C">
        <w:rPr>
          <w:color w:val="000000"/>
        </w:rPr>
        <w:t>conditions (</w:t>
      </w:r>
      <w:r w:rsidRPr="00775371">
        <w:rPr>
          <w:i/>
          <w:color w:val="000000"/>
        </w:rPr>
        <w:t>multipath</w:t>
      </w:r>
      <w:r w:rsidRPr="00E4675C">
        <w:rPr>
          <w:color w:val="000000"/>
        </w:rPr>
        <w:t xml:space="preserve">, poor </w:t>
      </w:r>
      <w:r w:rsidRPr="00775371">
        <w:rPr>
          <w:i/>
          <w:color w:val="000000"/>
        </w:rPr>
        <w:t>line-of-sight</w:t>
      </w:r>
      <w:r w:rsidR="0004777F">
        <w:rPr>
          <w:i/>
          <w:color w:val="000000"/>
        </w:rPr>
        <w:t>,</w:t>
      </w:r>
      <w:r w:rsidRPr="00E4675C">
        <w:rPr>
          <w:color w:val="000000"/>
        </w:rPr>
        <w:t xml:space="preserve"> </w:t>
      </w:r>
      <w:r w:rsidRPr="0004777F">
        <w:rPr>
          <w:color w:val="000000"/>
        </w:rPr>
        <w:t>etc.</w:t>
      </w:r>
      <w:r w:rsidRPr="00E4675C">
        <w:rPr>
          <w:color w:val="000000"/>
        </w:rPr>
        <w:t>).</w:t>
      </w:r>
    </w:p>
    <w:p w14:paraId="4C712AD6" w14:textId="77777777" w:rsidR="00E568A5" w:rsidRPr="00DB0B79" w:rsidRDefault="00611AC5" w:rsidP="00E568A5">
      <w:pPr>
        <w:spacing w:after="0" w:line="288" w:lineRule="auto"/>
        <w:ind w:firstLine="0"/>
        <w:jc w:val="center"/>
        <w:rPr>
          <w:b/>
          <w:color w:val="000000"/>
        </w:rPr>
      </w:pPr>
      <w:r>
        <w:rPr>
          <w:b/>
          <w:color w:val="000000"/>
        </w:rPr>
        <w:lastRenderedPageBreak/>
        <w:t>Article</w:t>
      </w:r>
      <w:r w:rsidR="00256A6C">
        <w:rPr>
          <w:b/>
          <w:color w:val="000000"/>
        </w:rPr>
        <w:t xml:space="preserve"> </w:t>
      </w:r>
      <w:r w:rsidR="00FC7B67">
        <w:rPr>
          <w:b/>
          <w:color w:val="000000"/>
        </w:rPr>
        <w:t>8</w:t>
      </w:r>
    </w:p>
    <w:p w14:paraId="2C852C89" w14:textId="77777777" w:rsidR="00E568A5" w:rsidRPr="00DB0B79" w:rsidRDefault="00E568A5" w:rsidP="00E43E61">
      <w:pPr>
        <w:spacing w:after="120" w:line="288" w:lineRule="auto"/>
        <w:ind w:firstLine="0"/>
        <w:jc w:val="center"/>
        <w:rPr>
          <w:b/>
          <w:color w:val="000000"/>
        </w:rPr>
      </w:pPr>
      <w:r w:rsidRPr="00DB0B79">
        <w:rPr>
          <w:b/>
          <w:color w:val="000000"/>
        </w:rPr>
        <w:t>(</w:t>
      </w:r>
      <w:r w:rsidR="005E05A0" w:rsidRPr="005E05A0">
        <w:rPr>
          <w:b/>
          <w:color w:val="000000"/>
        </w:rPr>
        <w:t>Coexistence of MFCN stations</w:t>
      </w:r>
      <w:r w:rsidRPr="00DB0B79">
        <w:rPr>
          <w:b/>
          <w:color w:val="000000"/>
        </w:rPr>
        <w:t>)</w:t>
      </w:r>
    </w:p>
    <w:p w14:paraId="0C0A409D" w14:textId="77777777" w:rsidR="005E05A0" w:rsidRPr="00E4675C" w:rsidRDefault="005E05A0" w:rsidP="00BC25C9">
      <w:pPr>
        <w:pStyle w:val="ListParagraph"/>
        <w:numPr>
          <w:ilvl w:val="0"/>
          <w:numId w:val="22"/>
        </w:numPr>
        <w:spacing w:beforeLines="40" w:before="96" w:afterLines="40" w:after="96" w:line="288" w:lineRule="auto"/>
        <w:rPr>
          <w:color w:val="000000"/>
        </w:rPr>
      </w:pPr>
      <w:r w:rsidRPr="00E4675C">
        <w:rPr>
          <w:color w:val="000000"/>
        </w:rPr>
        <w:t xml:space="preserve">The permitted levels of interference for different types of base </w:t>
      </w:r>
      <w:r w:rsidR="00BC25C9">
        <w:rPr>
          <w:color w:val="000000"/>
        </w:rPr>
        <w:t>stations</w:t>
      </w:r>
      <w:r w:rsidRPr="00E4675C">
        <w:rPr>
          <w:color w:val="000000"/>
        </w:rPr>
        <w:t xml:space="preserve"> are:</w:t>
      </w:r>
    </w:p>
    <w:p w14:paraId="005D8D66" w14:textId="77777777" w:rsidR="005E05A0" w:rsidRPr="005E05A0" w:rsidRDefault="005E05A0" w:rsidP="00BC25C9">
      <w:pPr>
        <w:spacing w:after="0" w:line="240" w:lineRule="auto"/>
        <w:ind w:left="360" w:firstLine="0"/>
        <w:rPr>
          <w:color w:val="000000"/>
        </w:rPr>
      </w:pPr>
      <w:r w:rsidRPr="005E05A0">
        <w:rPr>
          <w:color w:val="000000"/>
        </w:rPr>
        <w:t xml:space="preserve">Macro base station: </w:t>
      </w:r>
      <w:r w:rsidR="00BC25C9">
        <w:rPr>
          <w:color w:val="000000"/>
        </w:rPr>
        <w:tab/>
      </w:r>
      <w:r w:rsidR="00BC25C9">
        <w:rPr>
          <w:color w:val="000000"/>
        </w:rPr>
        <w:tab/>
      </w:r>
      <w:r w:rsidRPr="005E05A0">
        <w:rPr>
          <w:color w:val="000000"/>
        </w:rPr>
        <w:t>-108 dBm</w:t>
      </w:r>
      <w:r w:rsidR="00611AC5">
        <w:rPr>
          <w:color w:val="000000"/>
        </w:rPr>
        <w:t>/</w:t>
      </w:r>
      <w:r w:rsidRPr="005E05A0">
        <w:rPr>
          <w:color w:val="000000"/>
        </w:rPr>
        <w:t>5 MHz</w:t>
      </w:r>
    </w:p>
    <w:p w14:paraId="200624AD" w14:textId="77777777" w:rsidR="005E05A0" w:rsidRPr="005E05A0" w:rsidRDefault="005E05A0" w:rsidP="00BC25C9">
      <w:pPr>
        <w:spacing w:after="0" w:line="240" w:lineRule="auto"/>
        <w:ind w:left="360" w:firstLine="0"/>
        <w:rPr>
          <w:color w:val="000000"/>
        </w:rPr>
      </w:pPr>
      <w:r w:rsidRPr="005E05A0">
        <w:rPr>
          <w:color w:val="000000"/>
        </w:rPr>
        <w:t xml:space="preserve">Micro base station: </w:t>
      </w:r>
      <w:r w:rsidR="00BC25C9">
        <w:rPr>
          <w:color w:val="000000"/>
        </w:rPr>
        <w:tab/>
      </w:r>
      <w:r w:rsidR="00BC25C9">
        <w:rPr>
          <w:color w:val="000000"/>
        </w:rPr>
        <w:tab/>
      </w:r>
      <w:r w:rsidRPr="005E05A0">
        <w:rPr>
          <w:color w:val="000000"/>
        </w:rPr>
        <w:t>-105 dBm</w:t>
      </w:r>
      <w:r w:rsidR="00611AC5">
        <w:rPr>
          <w:color w:val="000000"/>
        </w:rPr>
        <w:t>/</w:t>
      </w:r>
      <w:r w:rsidRPr="005E05A0">
        <w:rPr>
          <w:color w:val="000000"/>
        </w:rPr>
        <w:t>5 MHz</w:t>
      </w:r>
    </w:p>
    <w:p w14:paraId="26B9B12E" w14:textId="77777777" w:rsidR="005E05A0" w:rsidRPr="005E05A0" w:rsidRDefault="005E05A0" w:rsidP="00BC25C9">
      <w:pPr>
        <w:spacing w:after="0" w:line="240" w:lineRule="auto"/>
        <w:ind w:left="360" w:firstLine="0"/>
        <w:rPr>
          <w:color w:val="000000"/>
        </w:rPr>
      </w:pPr>
      <w:r w:rsidRPr="005E05A0">
        <w:rPr>
          <w:color w:val="000000"/>
        </w:rPr>
        <w:t>Pico base station:</w:t>
      </w:r>
      <w:r w:rsidR="00BC25C9">
        <w:rPr>
          <w:color w:val="000000"/>
        </w:rPr>
        <w:tab/>
      </w:r>
      <w:r w:rsidR="00BC25C9">
        <w:rPr>
          <w:color w:val="000000"/>
        </w:rPr>
        <w:tab/>
      </w:r>
      <w:r w:rsidR="00BC25C9">
        <w:rPr>
          <w:color w:val="000000"/>
        </w:rPr>
        <w:tab/>
      </w:r>
      <w:r w:rsidRPr="005E05A0">
        <w:rPr>
          <w:color w:val="000000"/>
        </w:rPr>
        <w:t>-100 dBm</w:t>
      </w:r>
      <w:r w:rsidR="00611AC5">
        <w:rPr>
          <w:color w:val="000000"/>
        </w:rPr>
        <w:t>/</w:t>
      </w:r>
      <w:r w:rsidRPr="005E05A0">
        <w:rPr>
          <w:color w:val="000000"/>
        </w:rPr>
        <w:t>5 MHz</w:t>
      </w:r>
    </w:p>
    <w:p w14:paraId="3CCEF9A5" w14:textId="77777777" w:rsidR="005E05A0" w:rsidRPr="005E05A0" w:rsidRDefault="005E05A0" w:rsidP="00BC25C9">
      <w:pPr>
        <w:spacing w:after="0" w:line="240" w:lineRule="auto"/>
        <w:ind w:left="360" w:firstLine="0"/>
        <w:rPr>
          <w:color w:val="000000"/>
        </w:rPr>
      </w:pPr>
      <w:r w:rsidRPr="005E05A0">
        <w:rPr>
          <w:color w:val="000000"/>
        </w:rPr>
        <w:t xml:space="preserve">Femto base station: </w:t>
      </w:r>
      <w:r w:rsidR="00BC25C9">
        <w:rPr>
          <w:color w:val="000000"/>
        </w:rPr>
        <w:tab/>
      </w:r>
      <w:r w:rsidR="00BC25C9">
        <w:rPr>
          <w:color w:val="000000"/>
        </w:rPr>
        <w:tab/>
      </w:r>
      <w:r w:rsidRPr="005E05A0">
        <w:rPr>
          <w:color w:val="000000"/>
        </w:rPr>
        <w:t>-100 dBm</w:t>
      </w:r>
      <w:r w:rsidR="00611AC5">
        <w:rPr>
          <w:color w:val="000000"/>
        </w:rPr>
        <w:t>/</w:t>
      </w:r>
      <w:r w:rsidRPr="005E05A0">
        <w:rPr>
          <w:color w:val="000000"/>
        </w:rPr>
        <w:t>5 MHz</w:t>
      </w:r>
    </w:p>
    <w:p w14:paraId="6B4BF0CD" w14:textId="77777777" w:rsidR="005E05A0" w:rsidRPr="005E05A0" w:rsidRDefault="005E05A0" w:rsidP="005E05A0">
      <w:pPr>
        <w:spacing w:after="0" w:line="288" w:lineRule="auto"/>
        <w:ind w:firstLine="0"/>
        <w:rPr>
          <w:color w:val="000000"/>
        </w:rPr>
      </w:pPr>
    </w:p>
    <w:p w14:paraId="5B61DBB6" w14:textId="77777777" w:rsidR="005E05A0" w:rsidRPr="00376690" w:rsidRDefault="005E05A0" w:rsidP="00BC25C9">
      <w:pPr>
        <w:pStyle w:val="ListParagraph"/>
        <w:numPr>
          <w:ilvl w:val="0"/>
          <w:numId w:val="22"/>
        </w:numPr>
        <w:spacing w:beforeLines="40" w:before="96" w:afterLines="40" w:after="96" w:line="288" w:lineRule="auto"/>
        <w:rPr>
          <w:color w:val="000000"/>
        </w:rPr>
      </w:pPr>
      <w:r w:rsidRPr="00376690">
        <w:rPr>
          <w:color w:val="000000"/>
        </w:rPr>
        <w:t xml:space="preserve">For macro base stations, the </w:t>
      </w:r>
      <w:r w:rsidR="00744A8E">
        <w:rPr>
          <w:lang w:val="hr-BA"/>
        </w:rPr>
        <w:t>mean field strength produced by the cell</w:t>
      </w:r>
      <w:r w:rsidRPr="00376690">
        <w:rPr>
          <w:color w:val="000000"/>
        </w:rPr>
        <w:t xml:space="preserve"> must not exceed </w:t>
      </w:r>
      <w:r w:rsidR="00BC25C9" w:rsidRPr="0077585E">
        <w:rPr>
          <w:color w:val="000000"/>
          <w:lang w:val="hr-BA"/>
        </w:rPr>
        <w:t xml:space="preserve">32 </w:t>
      </w:r>
      <w:r w:rsidR="00BC25C9" w:rsidRPr="0077585E">
        <w:rPr>
          <w:lang w:val="hr-BA"/>
        </w:rPr>
        <w:t>dBµV/m/5 MHz</w:t>
      </w:r>
      <w:r w:rsidRPr="00376690">
        <w:rPr>
          <w:color w:val="000000"/>
        </w:rPr>
        <w:t xml:space="preserve"> </w:t>
      </w:r>
      <w:r w:rsidRPr="0004777F">
        <w:rPr>
          <w:color w:val="000000"/>
        </w:rPr>
        <w:t xml:space="preserve">at </w:t>
      </w:r>
      <w:r w:rsidR="0004777F">
        <w:rPr>
          <w:color w:val="000000"/>
        </w:rPr>
        <w:t>the</w:t>
      </w:r>
      <w:r w:rsidRPr="0004777F">
        <w:rPr>
          <w:color w:val="000000"/>
        </w:rPr>
        <w:t xml:space="preserve"> height of</w:t>
      </w:r>
      <w:r w:rsidRPr="00376690">
        <w:rPr>
          <w:color w:val="000000"/>
        </w:rPr>
        <w:t xml:space="preserve"> 3 m a</w:t>
      </w:r>
      <w:r w:rsidR="00775371" w:rsidRPr="00376690">
        <w:rPr>
          <w:color w:val="000000"/>
        </w:rPr>
        <w:t xml:space="preserve">bove the ground </w:t>
      </w:r>
      <w:r w:rsidR="00BC25C9">
        <w:rPr>
          <w:color w:val="000000"/>
        </w:rPr>
        <w:t xml:space="preserve">level </w:t>
      </w:r>
      <w:r w:rsidR="00775371" w:rsidRPr="00376690">
        <w:rPr>
          <w:color w:val="000000"/>
        </w:rPr>
        <w:t>at the border</w:t>
      </w:r>
      <w:r w:rsidR="00BC25C9">
        <w:rPr>
          <w:color w:val="000000"/>
        </w:rPr>
        <w:t>line</w:t>
      </w:r>
      <w:r w:rsidR="00775371" w:rsidRPr="00376690">
        <w:rPr>
          <w:color w:val="000000"/>
        </w:rPr>
        <w:t xml:space="preserve"> </w:t>
      </w:r>
      <w:r w:rsidRPr="00376690">
        <w:rPr>
          <w:color w:val="000000"/>
        </w:rPr>
        <w:t>of the assigned area.</w:t>
      </w:r>
    </w:p>
    <w:p w14:paraId="5436BD0B" w14:textId="77777777" w:rsidR="005E05A0" w:rsidRPr="00376690" w:rsidRDefault="005E05A0" w:rsidP="00BC25C9">
      <w:pPr>
        <w:pStyle w:val="ListParagraph"/>
        <w:numPr>
          <w:ilvl w:val="0"/>
          <w:numId w:val="22"/>
        </w:numPr>
        <w:spacing w:beforeLines="40" w:before="96" w:afterLines="40" w:after="96" w:line="288" w:lineRule="auto"/>
        <w:rPr>
          <w:color w:val="000000"/>
        </w:rPr>
      </w:pPr>
      <w:r w:rsidRPr="00376690">
        <w:rPr>
          <w:color w:val="000000"/>
        </w:rPr>
        <w:t xml:space="preserve">For different sizes of assigned blocks, the </w:t>
      </w:r>
      <w:r w:rsidR="00744A8E">
        <w:rPr>
          <w:lang w:val="hr-BA"/>
        </w:rPr>
        <w:t xml:space="preserve">field strength </w:t>
      </w:r>
      <w:r w:rsidRPr="00376690">
        <w:rPr>
          <w:color w:val="000000"/>
        </w:rPr>
        <w:t>in paragraph (2) of thi</w:t>
      </w:r>
      <w:r w:rsidR="00775371" w:rsidRPr="00376690">
        <w:rPr>
          <w:color w:val="000000"/>
        </w:rPr>
        <w:t>s A</w:t>
      </w:r>
      <w:r w:rsidRPr="00376690">
        <w:rPr>
          <w:color w:val="000000"/>
        </w:rPr>
        <w:t xml:space="preserve">rticle </w:t>
      </w:r>
      <w:r w:rsidRPr="0004777F">
        <w:rPr>
          <w:color w:val="000000"/>
        </w:rPr>
        <w:t>is corrected</w:t>
      </w:r>
      <w:r w:rsidRPr="00376690">
        <w:rPr>
          <w:color w:val="000000"/>
        </w:rPr>
        <w:t xml:space="preserve"> by adding a value of 10 x log (block size in MHz</w:t>
      </w:r>
      <w:r w:rsidR="00744A8E">
        <w:rPr>
          <w:color w:val="000000"/>
        </w:rPr>
        <w:t xml:space="preserve"> </w:t>
      </w:r>
      <w:r w:rsidR="00611AC5" w:rsidRPr="00376690">
        <w:rPr>
          <w:color w:val="000000"/>
        </w:rPr>
        <w:t>/</w:t>
      </w:r>
      <w:r w:rsidR="00744A8E">
        <w:rPr>
          <w:color w:val="000000"/>
        </w:rPr>
        <w:t xml:space="preserve"> </w:t>
      </w:r>
      <w:r w:rsidRPr="00376690">
        <w:rPr>
          <w:color w:val="000000"/>
        </w:rPr>
        <w:t>5 MHz).</w:t>
      </w:r>
    </w:p>
    <w:p w14:paraId="52FF265D" w14:textId="77777777" w:rsidR="00C47F01" w:rsidRPr="00376690" w:rsidRDefault="005E05A0" w:rsidP="00BC25C9">
      <w:pPr>
        <w:pStyle w:val="ListParagraph"/>
        <w:numPr>
          <w:ilvl w:val="0"/>
          <w:numId w:val="22"/>
        </w:numPr>
        <w:spacing w:beforeLines="40" w:before="96" w:afterLines="40" w:after="96" w:line="288" w:lineRule="auto"/>
        <w:rPr>
          <w:b/>
          <w:color w:val="000000"/>
        </w:rPr>
      </w:pPr>
      <w:r w:rsidRPr="00376690">
        <w:rPr>
          <w:color w:val="000000"/>
        </w:rPr>
        <w:t>For coexistence with other services and resolution of disturbances, valid CEPT and ITU recommendations and coexistence reports will apply.</w:t>
      </w:r>
    </w:p>
    <w:p w14:paraId="216F8FAF" w14:textId="77777777" w:rsidR="002C6E51" w:rsidRDefault="002C6E51" w:rsidP="00C140EC">
      <w:pPr>
        <w:spacing w:after="0" w:line="288" w:lineRule="auto"/>
        <w:ind w:firstLine="0"/>
        <w:jc w:val="center"/>
        <w:rPr>
          <w:b/>
          <w:color w:val="000000"/>
        </w:rPr>
      </w:pPr>
    </w:p>
    <w:p w14:paraId="4FE7F481" w14:textId="77777777" w:rsidR="00202632" w:rsidRDefault="00202632" w:rsidP="00C140EC">
      <w:pPr>
        <w:spacing w:after="0" w:line="288" w:lineRule="auto"/>
        <w:ind w:firstLine="0"/>
        <w:jc w:val="center"/>
        <w:rPr>
          <w:b/>
          <w:color w:val="000000"/>
        </w:rPr>
      </w:pPr>
    </w:p>
    <w:p w14:paraId="109BE117" w14:textId="77777777" w:rsidR="00C140EC" w:rsidRPr="00DB0B79" w:rsidRDefault="00611AC5" w:rsidP="00C140EC">
      <w:pPr>
        <w:spacing w:after="0" w:line="288" w:lineRule="auto"/>
        <w:ind w:firstLine="0"/>
        <w:jc w:val="center"/>
        <w:rPr>
          <w:b/>
          <w:color w:val="000000"/>
        </w:rPr>
      </w:pPr>
      <w:r>
        <w:rPr>
          <w:b/>
          <w:color w:val="000000"/>
        </w:rPr>
        <w:t>Article</w:t>
      </w:r>
      <w:r w:rsidR="00256A6C">
        <w:rPr>
          <w:b/>
          <w:color w:val="000000"/>
        </w:rPr>
        <w:t xml:space="preserve"> </w:t>
      </w:r>
      <w:r w:rsidR="00FC7B67">
        <w:rPr>
          <w:b/>
          <w:color w:val="000000"/>
        </w:rPr>
        <w:t>9</w:t>
      </w:r>
    </w:p>
    <w:p w14:paraId="4716FC3B" w14:textId="77777777" w:rsidR="00C140EC" w:rsidRPr="00DB0B79" w:rsidRDefault="00C140EC" w:rsidP="00E43E61">
      <w:pPr>
        <w:spacing w:after="120" w:line="288" w:lineRule="auto"/>
        <w:ind w:firstLine="0"/>
        <w:jc w:val="center"/>
        <w:rPr>
          <w:b/>
          <w:color w:val="000000"/>
        </w:rPr>
      </w:pPr>
      <w:r w:rsidRPr="00DB0B79">
        <w:rPr>
          <w:b/>
          <w:color w:val="000000"/>
        </w:rPr>
        <w:t>(</w:t>
      </w:r>
      <w:r w:rsidR="005E05A0">
        <w:rPr>
          <w:b/>
          <w:color w:val="000000"/>
        </w:rPr>
        <w:t>Border coordination</w:t>
      </w:r>
      <w:r w:rsidRPr="00DB0B79">
        <w:rPr>
          <w:b/>
          <w:color w:val="000000"/>
        </w:rPr>
        <w:t>)</w:t>
      </w:r>
    </w:p>
    <w:p w14:paraId="57D74B35" w14:textId="77777777" w:rsidR="005E05A0" w:rsidRPr="005E05A0" w:rsidRDefault="005E05A0" w:rsidP="00744A8E">
      <w:pPr>
        <w:pStyle w:val="ListParagraph"/>
        <w:numPr>
          <w:ilvl w:val="0"/>
          <w:numId w:val="21"/>
        </w:numPr>
        <w:spacing w:beforeLines="40" w:before="96" w:afterLines="40" w:after="96" w:line="288" w:lineRule="auto"/>
        <w:rPr>
          <w:color w:val="000000"/>
        </w:rPr>
      </w:pPr>
      <w:r w:rsidRPr="005E05A0">
        <w:rPr>
          <w:color w:val="000000"/>
        </w:rPr>
        <w:t>Border coordination with neighboring countries based on preferential frequencies shall be defined by separate agreements between the Agency and administrations of neighboring countries, as appropriate.</w:t>
      </w:r>
    </w:p>
    <w:p w14:paraId="796D200B" w14:textId="77777777" w:rsidR="005E05A0" w:rsidRPr="005E05A0" w:rsidRDefault="00775371" w:rsidP="00744A8E">
      <w:pPr>
        <w:pStyle w:val="ListParagraph"/>
        <w:numPr>
          <w:ilvl w:val="0"/>
          <w:numId w:val="21"/>
        </w:numPr>
        <w:spacing w:beforeLines="40" w:before="96" w:afterLines="40" w:after="96" w:line="288" w:lineRule="auto"/>
        <w:rPr>
          <w:color w:val="000000"/>
        </w:rPr>
      </w:pPr>
      <w:r>
        <w:rPr>
          <w:color w:val="000000"/>
        </w:rPr>
        <w:t>Un</w:t>
      </w:r>
      <w:r w:rsidR="005E05A0" w:rsidRPr="005E05A0">
        <w:rPr>
          <w:color w:val="000000"/>
        </w:rPr>
        <w:t xml:space="preserve">synchronized MFCN TDD systems may be used without coordination and special agreements with neighboring countries if the mean field strength of each cell does not exceed </w:t>
      </w:r>
      <w:r w:rsidR="00744A8E" w:rsidRPr="0077585E">
        <w:rPr>
          <w:color w:val="000000"/>
          <w:lang w:val="hr-BA"/>
        </w:rPr>
        <w:t xml:space="preserve">32 </w:t>
      </w:r>
      <w:r w:rsidR="00744A8E" w:rsidRPr="0077585E">
        <w:rPr>
          <w:lang w:val="hr-BA"/>
        </w:rPr>
        <w:t>dBµV/m/5 MHz</w:t>
      </w:r>
      <w:r w:rsidR="005E05A0" w:rsidRPr="005E05A0">
        <w:rPr>
          <w:color w:val="000000"/>
        </w:rPr>
        <w:t xml:space="preserve"> </w:t>
      </w:r>
      <w:r w:rsidR="005E05A0" w:rsidRPr="0004777F">
        <w:rPr>
          <w:color w:val="000000"/>
        </w:rPr>
        <w:t xml:space="preserve">at </w:t>
      </w:r>
      <w:r w:rsidR="0004777F">
        <w:rPr>
          <w:color w:val="000000"/>
        </w:rPr>
        <w:t>the</w:t>
      </w:r>
      <w:r w:rsidR="005E05A0" w:rsidRPr="0004777F">
        <w:rPr>
          <w:color w:val="000000"/>
        </w:rPr>
        <w:t xml:space="preserve"> height of</w:t>
      </w:r>
      <w:r w:rsidR="005E05A0" w:rsidRPr="005E05A0">
        <w:rPr>
          <w:color w:val="000000"/>
        </w:rPr>
        <w:t xml:space="preserve"> 3 m </w:t>
      </w:r>
      <w:r>
        <w:rPr>
          <w:color w:val="000000"/>
        </w:rPr>
        <w:t xml:space="preserve">above the ground </w:t>
      </w:r>
      <w:r w:rsidR="00744A8E">
        <w:rPr>
          <w:color w:val="000000"/>
        </w:rPr>
        <w:t xml:space="preserve">level </w:t>
      </w:r>
      <w:r>
        <w:rPr>
          <w:color w:val="000000"/>
        </w:rPr>
        <w:t xml:space="preserve">at the </w:t>
      </w:r>
      <w:r w:rsidRPr="0004777F">
        <w:rPr>
          <w:color w:val="000000"/>
        </w:rPr>
        <w:t>border</w:t>
      </w:r>
      <w:r w:rsidR="005E05A0" w:rsidRPr="0004777F">
        <w:rPr>
          <w:color w:val="000000"/>
        </w:rPr>
        <w:t>line</w:t>
      </w:r>
      <w:r w:rsidR="005E05A0" w:rsidRPr="005E05A0">
        <w:rPr>
          <w:color w:val="000000"/>
        </w:rPr>
        <w:t>.</w:t>
      </w:r>
    </w:p>
    <w:p w14:paraId="6A73467F" w14:textId="77777777" w:rsidR="005E05A0" w:rsidRPr="005E05A0" w:rsidRDefault="005E05A0" w:rsidP="00744A8E">
      <w:pPr>
        <w:pStyle w:val="ListParagraph"/>
        <w:numPr>
          <w:ilvl w:val="0"/>
          <w:numId w:val="21"/>
        </w:numPr>
        <w:spacing w:beforeLines="40" w:before="96" w:afterLines="40" w:after="96" w:line="288" w:lineRule="auto"/>
        <w:rPr>
          <w:color w:val="000000"/>
        </w:rPr>
      </w:pPr>
      <w:r w:rsidRPr="0004777F">
        <w:rPr>
          <w:color w:val="000000"/>
        </w:rPr>
        <w:t xml:space="preserve">MFCN TDD systems synchronized along the border or implemented as 'only downlink' on both sides of the border may be used without the coordination of neighboring countries if the mean field strength of each cell of the base station does not exceed </w:t>
      </w:r>
      <w:r w:rsidR="00744A8E" w:rsidRPr="0077585E">
        <w:rPr>
          <w:color w:val="000000"/>
          <w:lang w:val="hr-BA"/>
        </w:rPr>
        <w:t>67 dB</w:t>
      </w:r>
      <w:r w:rsidR="00744A8E" w:rsidRPr="0077585E">
        <w:rPr>
          <w:lang w:val="hr-BA"/>
        </w:rPr>
        <w:t>µ</w:t>
      </w:r>
      <w:r w:rsidR="00744A8E" w:rsidRPr="0077585E">
        <w:rPr>
          <w:color w:val="000000"/>
          <w:lang w:val="hr-BA"/>
        </w:rPr>
        <w:t>V/m/5 MHz</w:t>
      </w:r>
      <w:r w:rsidRPr="0004777F">
        <w:rPr>
          <w:color w:val="000000"/>
        </w:rPr>
        <w:t xml:space="preserve"> at a height 3 m above the ground </w:t>
      </w:r>
      <w:r w:rsidR="00744A8E">
        <w:rPr>
          <w:color w:val="000000"/>
        </w:rPr>
        <w:t xml:space="preserve">level </w:t>
      </w:r>
      <w:r w:rsidRPr="0004777F">
        <w:rPr>
          <w:color w:val="000000"/>
        </w:rPr>
        <w:t xml:space="preserve">at the </w:t>
      </w:r>
      <w:r w:rsidR="00744A8E" w:rsidRPr="0004777F">
        <w:rPr>
          <w:color w:val="000000"/>
        </w:rPr>
        <w:t xml:space="preserve">borderline </w:t>
      </w:r>
      <w:r w:rsidRPr="0004777F">
        <w:rPr>
          <w:color w:val="000000"/>
        </w:rPr>
        <w:t xml:space="preserve">and a value of 49 </w:t>
      </w:r>
      <w:r w:rsidR="00744A8E" w:rsidRPr="0077585E">
        <w:rPr>
          <w:color w:val="000000"/>
          <w:lang w:val="hr-BA"/>
        </w:rPr>
        <w:t>dB</w:t>
      </w:r>
      <w:r w:rsidR="00744A8E" w:rsidRPr="0077585E">
        <w:rPr>
          <w:lang w:val="hr-BA"/>
        </w:rPr>
        <w:t>µ</w:t>
      </w:r>
      <w:r w:rsidR="00744A8E" w:rsidRPr="0077585E">
        <w:rPr>
          <w:color w:val="000000"/>
          <w:lang w:val="hr-BA"/>
        </w:rPr>
        <w:t>V/m/5 MHz</w:t>
      </w:r>
      <w:r w:rsidR="00744A8E" w:rsidRPr="0004777F">
        <w:rPr>
          <w:color w:val="000000"/>
        </w:rPr>
        <w:t xml:space="preserve"> </w:t>
      </w:r>
      <w:r w:rsidRPr="0004777F">
        <w:rPr>
          <w:color w:val="000000"/>
        </w:rPr>
        <w:t xml:space="preserve">at </w:t>
      </w:r>
      <w:r w:rsidR="0004777F" w:rsidRPr="0004777F">
        <w:rPr>
          <w:color w:val="000000"/>
        </w:rPr>
        <w:t>the</w:t>
      </w:r>
      <w:r w:rsidRPr="0004777F">
        <w:rPr>
          <w:color w:val="000000"/>
        </w:rPr>
        <w:t xml:space="preserve"> height of 3 m above the ground </w:t>
      </w:r>
      <w:r w:rsidR="00744A8E">
        <w:rPr>
          <w:color w:val="000000"/>
        </w:rPr>
        <w:t>level</w:t>
      </w:r>
      <w:r w:rsidR="00744A8E" w:rsidRPr="0004777F">
        <w:rPr>
          <w:color w:val="000000"/>
        </w:rPr>
        <w:t xml:space="preserve"> </w:t>
      </w:r>
      <w:r w:rsidRPr="0004777F">
        <w:rPr>
          <w:color w:val="000000"/>
        </w:rPr>
        <w:t xml:space="preserve">at a distance </w:t>
      </w:r>
      <w:r w:rsidR="00775371" w:rsidRPr="0004777F">
        <w:rPr>
          <w:color w:val="000000"/>
        </w:rPr>
        <w:t xml:space="preserve">of 6 km within the </w:t>
      </w:r>
      <w:r w:rsidR="00744A8E" w:rsidRPr="0004777F">
        <w:rPr>
          <w:color w:val="000000"/>
        </w:rPr>
        <w:t>neighboring</w:t>
      </w:r>
      <w:r w:rsidR="00775371" w:rsidRPr="0004777F">
        <w:rPr>
          <w:color w:val="000000"/>
        </w:rPr>
        <w:t xml:space="preserve"> country</w:t>
      </w:r>
      <w:r w:rsidRPr="0004777F">
        <w:rPr>
          <w:color w:val="000000"/>
        </w:rPr>
        <w:t>.</w:t>
      </w:r>
    </w:p>
    <w:p w14:paraId="636463C1" w14:textId="77777777" w:rsidR="005E05A0" w:rsidRPr="005E05A0" w:rsidRDefault="005E05A0" w:rsidP="00744A8E">
      <w:pPr>
        <w:pStyle w:val="ListParagraph"/>
        <w:numPr>
          <w:ilvl w:val="0"/>
          <w:numId w:val="21"/>
        </w:numPr>
        <w:spacing w:beforeLines="40" w:before="96" w:afterLines="40" w:after="96" w:line="288" w:lineRule="auto"/>
        <w:rPr>
          <w:color w:val="000000"/>
        </w:rPr>
      </w:pPr>
      <w:r w:rsidRPr="005E05A0">
        <w:rPr>
          <w:color w:val="000000"/>
        </w:rPr>
        <w:t>In the case of the use of a TDD from one and the FDD system o</w:t>
      </w:r>
      <w:r w:rsidR="00775371">
        <w:rPr>
          <w:color w:val="000000"/>
        </w:rPr>
        <w:t>n the other side of the border</w:t>
      </w:r>
      <w:r w:rsidRPr="005E05A0">
        <w:rPr>
          <w:color w:val="000000"/>
        </w:rPr>
        <w:t xml:space="preserve">, a mean field strength of 32 </w:t>
      </w:r>
      <w:r w:rsidR="00744A8E" w:rsidRPr="0077585E">
        <w:rPr>
          <w:color w:val="000000"/>
          <w:lang w:val="hr-BA"/>
        </w:rPr>
        <w:t>dB</w:t>
      </w:r>
      <w:r w:rsidR="00744A8E" w:rsidRPr="0077585E">
        <w:rPr>
          <w:lang w:val="hr-BA"/>
        </w:rPr>
        <w:t>µ</w:t>
      </w:r>
      <w:r w:rsidR="00744A8E" w:rsidRPr="0077585E">
        <w:rPr>
          <w:color w:val="000000"/>
          <w:lang w:val="hr-BA"/>
        </w:rPr>
        <w:t>V/m/5 MHz</w:t>
      </w:r>
      <w:r w:rsidRPr="005E05A0">
        <w:rPr>
          <w:color w:val="000000"/>
        </w:rPr>
        <w:t xml:space="preserve"> </w:t>
      </w:r>
      <w:r w:rsidRPr="0004777F">
        <w:rPr>
          <w:color w:val="000000"/>
        </w:rPr>
        <w:t>is applied</w:t>
      </w:r>
      <w:r w:rsidRPr="005E05A0">
        <w:rPr>
          <w:color w:val="000000"/>
        </w:rPr>
        <w:t xml:space="preserve"> </w:t>
      </w:r>
      <w:r w:rsidRPr="0004777F">
        <w:rPr>
          <w:color w:val="000000"/>
        </w:rPr>
        <w:t xml:space="preserve">at </w:t>
      </w:r>
      <w:r w:rsidR="0004777F">
        <w:rPr>
          <w:color w:val="000000"/>
        </w:rPr>
        <w:t>the</w:t>
      </w:r>
      <w:r w:rsidRPr="0004777F">
        <w:rPr>
          <w:color w:val="000000"/>
        </w:rPr>
        <w:t xml:space="preserve"> height of</w:t>
      </w:r>
      <w:r w:rsidRPr="005E05A0">
        <w:rPr>
          <w:color w:val="000000"/>
        </w:rPr>
        <w:t xml:space="preserve"> 3 m a</w:t>
      </w:r>
      <w:r w:rsidR="00775371">
        <w:rPr>
          <w:color w:val="000000"/>
        </w:rPr>
        <w:t xml:space="preserve">bove the ground </w:t>
      </w:r>
      <w:r w:rsidR="00744A8E">
        <w:rPr>
          <w:color w:val="000000"/>
        </w:rPr>
        <w:t xml:space="preserve">level </w:t>
      </w:r>
      <w:r w:rsidR="00775371">
        <w:rPr>
          <w:color w:val="000000"/>
        </w:rPr>
        <w:t xml:space="preserve">at the </w:t>
      </w:r>
      <w:r w:rsidR="00775371" w:rsidRPr="0004777F">
        <w:rPr>
          <w:color w:val="000000"/>
        </w:rPr>
        <w:t>border</w:t>
      </w:r>
      <w:r w:rsidRPr="0004777F">
        <w:rPr>
          <w:color w:val="000000"/>
        </w:rPr>
        <w:t>line</w:t>
      </w:r>
      <w:r w:rsidRPr="005E05A0">
        <w:rPr>
          <w:color w:val="000000"/>
        </w:rPr>
        <w:t>.</w:t>
      </w:r>
    </w:p>
    <w:p w14:paraId="1D53D95A" w14:textId="77777777" w:rsidR="00562999" w:rsidRPr="005E05A0" w:rsidRDefault="005E05A0" w:rsidP="00744A8E">
      <w:pPr>
        <w:pStyle w:val="ListParagraph"/>
        <w:numPr>
          <w:ilvl w:val="0"/>
          <w:numId w:val="21"/>
        </w:numPr>
        <w:spacing w:beforeLines="40" w:before="96" w:afterLines="40" w:after="96" w:line="288" w:lineRule="auto"/>
        <w:rPr>
          <w:b/>
          <w:color w:val="000000"/>
        </w:rPr>
      </w:pPr>
      <w:r w:rsidRPr="005E05A0">
        <w:rPr>
          <w:color w:val="000000"/>
        </w:rPr>
        <w:t xml:space="preserve">For different sizes of assigned blocks, the </w:t>
      </w:r>
      <w:r w:rsidR="00F26433">
        <w:rPr>
          <w:color w:val="000000"/>
        </w:rPr>
        <w:t xml:space="preserve">field </w:t>
      </w:r>
      <w:r w:rsidRPr="005E05A0">
        <w:rPr>
          <w:color w:val="000000"/>
        </w:rPr>
        <w:t xml:space="preserve">strengths in paragraphs (2), (3) and (4) of this Article </w:t>
      </w:r>
      <w:r w:rsidRPr="0004777F">
        <w:rPr>
          <w:color w:val="000000"/>
        </w:rPr>
        <w:t>are corrected</w:t>
      </w:r>
      <w:r w:rsidRPr="005E05A0">
        <w:rPr>
          <w:color w:val="000000"/>
        </w:rPr>
        <w:t xml:space="preserve"> by adding a value of 10 x log (block size in MHz</w:t>
      </w:r>
      <w:r w:rsidR="00F26433">
        <w:rPr>
          <w:color w:val="000000"/>
        </w:rPr>
        <w:t xml:space="preserve"> </w:t>
      </w:r>
      <w:r w:rsidR="00611AC5">
        <w:rPr>
          <w:color w:val="000000"/>
        </w:rPr>
        <w:t>/</w:t>
      </w:r>
      <w:r w:rsidR="00F26433">
        <w:rPr>
          <w:color w:val="000000"/>
        </w:rPr>
        <w:t xml:space="preserve"> </w:t>
      </w:r>
      <w:r w:rsidRPr="005E05A0">
        <w:rPr>
          <w:color w:val="000000"/>
        </w:rPr>
        <w:t>5 MHz).</w:t>
      </w:r>
    </w:p>
    <w:p w14:paraId="34C61D4D" w14:textId="77777777" w:rsidR="004F1CC1" w:rsidRDefault="004F1CC1" w:rsidP="00E9166C">
      <w:pPr>
        <w:spacing w:after="0" w:line="288" w:lineRule="auto"/>
        <w:ind w:firstLine="0"/>
        <w:jc w:val="center"/>
        <w:rPr>
          <w:b/>
          <w:color w:val="000000"/>
        </w:rPr>
      </w:pPr>
    </w:p>
    <w:p w14:paraId="2F5ED104" w14:textId="77777777" w:rsidR="00101CED" w:rsidRPr="00DB0B79" w:rsidRDefault="00611AC5" w:rsidP="00E9166C">
      <w:pPr>
        <w:spacing w:after="0" w:line="288" w:lineRule="auto"/>
        <w:ind w:firstLine="0"/>
        <w:jc w:val="center"/>
        <w:rPr>
          <w:b/>
          <w:color w:val="000000"/>
        </w:rPr>
      </w:pPr>
      <w:r>
        <w:rPr>
          <w:b/>
          <w:color w:val="000000"/>
        </w:rPr>
        <w:lastRenderedPageBreak/>
        <w:t>Article</w:t>
      </w:r>
      <w:r w:rsidR="00101CED" w:rsidRPr="00DB0B79">
        <w:rPr>
          <w:b/>
          <w:color w:val="000000"/>
        </w:rPr>
        <w:t xml:space="preserve"> </w:t>
      </w:r>
      <w:r w:rsidR="00256A6C">
        <w:rPr>
          <w:b/>
          <w:color w:val="000000"/>
        </w:rPr>
        <w:t>1</w:t>
      </w:r>
      <w:r w:rsidR="00FC7B67">
        <w:rPr>
          <w:b/>
          <w:color w:val="000000"/>
        </w:rPr>
        <w:t>0</w:t>
      </w:r>
    </w:p>
    <w:p w14:paraId="63854936" w14:textId="77777777" w:rsidR="00101CED" w:rsidRPr="00DB0B79" w:rsidRDefault="005E05A0" w:rsidP="00E43E61">
      <w:pPr>
        <w:spacing w:after="120" w:line="288" w:lineRule="auto"/>
        <w:ind w:firstLine="0"/>
        <w:jc w:val="center"/>
        <w:rPr>
          <w:b/>
          <w:color w:val="000000"/>
        </w:rPr>
      </w:pPr>
      <w:r>
        <w:rPr>
          <w:b/>
          <w:color w:val="000000"/>
        </w:rPr>
        <w:t xml:space="preserve">(Principles of </w:t>
      </w:r>
      <w:r w:rsidR="006044B0">
        <w:rPr>
          <w:b/>
          <w:color w:val="000000"/>
        </w:rPr>
        <w:t>assignment</w:t>
      </w:r>
      <w:r w:rsidR="00101CED" w:rsidRPr="00DB0B79">
        <w:rPr>
          <w:b/>
          <w:color w:val="000000"/>
        </w:rPr>
        <w:t>)</w:t>
      </w:r>
    </w:p>
    <w:p w14:paraId="0B5696C1" w14:textId="77777777" w:rsidR="005E05A0" w:rsidRPr="005E05A0" w:rsidRDefault="005E05A0" w:rsidP="00F26433">
      <w:pPr>
        <w:pStyle w:val="ListParagraph"/>
        <w:numPr>
          <w:ilvl w:val="0"/>
          <w:numId w:val="18"/>
        </w:numPr>
        <w:spacing w:beforeLines="40" w:before="96" w:afterLines="40" w:after="96" w:line="288" w:lineRule="auto"/>
        <w:rPr>
          <w:color w:val="000000"/>
        </w:rPr>
      </w:pPr>
      <w:bookmarkStart w:id="1" w:name="_Ref88893751"/>
      <w:bookmarkEnd w:id="1"/>
      <w:r w:rsidRPr="005E05A0">
        <w:rPr>
          <w:color w:val="000000"/>
        </w:rPr>
        <w:t xml:space="preserve">The basic principles for granting the </w:t>
      </w:r>
      <w:r w:rsidR="00376690" w:rsidRPr="0004777F">
        <w:rPr>
          <w:color w:val="000000"/>
        </w:rPr>
        <w:t>licen</w:t>
      </w:r>
      <w:r w:rsidR="0004777F">
        <w:rPr>
          <w:color w:val="000000"/>
        </w:rPr>
        <w:t>s</w:t>
      </w:r>
      <w:r w:rsidR="00376690" w:rsidRPr="0004777F">
        <w:rPr>
          <w:color w:val="000000"/>
        </w:rPr>
        <w:t>e</w:t>
      </w:r>
      <w:r w:rsidRPr="005E05A0">
        <w:rPr>
          <w:color w:val="000000"/>
        </w:rPr>
        <w:t xml:space="preserve"> are:</w:t>
      </w:r>
    </w:p>
    <w:p w14:paraId="13E22070" w14:textId="77777777" w:rsidR="005E05A0" w:rsidRPr="005E05A0" w:rsidRDefault="00376690" w:rsidP="00F26433">
      <w:pPr>
        <w:pStyle w:val="ListParagraph"/>
        <w:numPr>
          <w:ilvl w:val="0"/>
          <w:numId w:val="19"/>
        </w:numPr>
        <w:spacing w:beforeLines="40" w:before="96" w:afterLines="40" w:after="96" w:line="288" w:lineRule="auto"/>
        <w:rPr>
          <w:color w:val="000000"/>
        </w:rPr>
      </w:pPr>
      <w:r w:rsidRPr="0004777F">
        <w:rPr>
          <w:color w:val="000000"/>
        </w:rPr>
        <w:t>Licence</w:t>
      </w:r>
      <w:r w:rsidR="005E05A0" w:rsidRPr="0004777F">
        <w:rPr>
          <w:color w:val="000000"/>
        </w:rPr>
        <w:t xml:space="preserve"> for</w:t>
      </w:r>
      <w:r w:rsidR="00775371" w:rsidRPr="0004777F">
        <w:rPr>
          <w:color w:val="000000"/>
        </w:rPr>
        <w:t xml:space="preserve"> a</w:t>
      </w:r>
      <w:r w:rsidR="005E05A0" w:rsidRPr="0004777F">
        <w:rPr>
          <w:color w:val="000000"/>
        </w:rPr>
        <w:t xml:space="preserve"> block </w:t>
      </w:r>
      <w:r w:rsidR="00775371" w:rsidRPr="0004777F">
        <w:rPr>
          <w:color w:val="000000"/>
        </w:rPr>
        <w:t xml:space="preserve">is </w:t>
      </w:r>
      <w:r w:rsidR="00F26433">
        <w:rPr>
          <w:color w:val="000000"/>
        </w:rPr>
        <w:t>assigned</w:t>
      </w:r>
      <w:r w:rsidR="005E05A0" w:rsidRPr="0004777F">
        <w:rPr>
          <w:color w:val="000000"/>
        </w:rPr>
        <w:t xml:space="preserve"> for the territory of Bosnia and Herzegovina or in the area of ​​network groups on the basis of a public call published by the Agency (network group: 030 Central Bosnia Canton, 031 Posavina Canton, 032 Zenica-Doboj Canton, 033 Canton Sarajevo, 034 Canton 10, 035 Tuzla Canton, 036 Herzegovina-Neretva Canton, 037 Una-Sana Canton, 038 Bosnian Podrinje Canton, 039 West Herzegovina Can</w:t>
      </w:r>
      <w:r w:rsidR="00775371" w:rsidRPr="0004777F">
        <w:rPr>
          <w:color w:val="000000"/>
        </w:rPr>
        <w:t>ton, 049 Brčko D</w:t>
      </w:r>
      <w:r w:rsidR="00F26433">
        <w:rPr>
          <w:color w:val="000000"/>
        </w:rPr>
        <w:t>istrict BiH, 050 Mrkonjić</w:t>
      </w:r>
      <w:r w:rsidR="005E05A0" w:rsidRPr="0004777F">
        <w:rPr>
          <w:color w:val="000000"/>
        </w:rPr>
        <w:t xml:space="preserve"> Grad, 051 Banja Luka</w:t>
      </w:r>
      <w:r w:rsidR="00F26433">
        <w:rPr>
          <w:color w:val="000000"/>
        </w:rPr>
        <w:t>, 052 Prijedor, 053 Doboj, 054 Š</w:t>
      </w:r>
      <w:r w:rsidR="005E05A0" w:rsidRPr="0004777F">
        <w:rPr>
          <w:color w:val="000000"/>
        </w:rPr>
        <w:t>amac, 055 Bijeljina, 056 Zvornik, 057 East Sarajevo, 058 Foča, 059 Trebinje);</w:t>
      </w:r>
    </w:p>
    <w:p w14:paraId="6503369C" w14:textId="77777777" w:rsidR="005E05A0" w:rsidRPr="005E05A0" w:rsidRDefault="005E05A0" w:rsidP="00F26433">
      <w:pPr>
        <w:pStyle w:val="ListParagraph"/>
        <w:numPr>
          <w:ilvl w:val="0"/>
          <w:numId w:val="19"/>
        </w:numPr>
        <w:spacing w:beforeLines="40" w:before="96" w:afterLines="40" w:after="96" w:line="288" w:lineRule="auto"/>
        <w:rPr>
          <w:color w:val="000000"/>
        </w:rPr>
      </w:pPr>
      <w:r w:rsidRPr="0004777F">
        <w:rPr>
          <w:color w:val="000000"/>
        </w:rPr>
        <w:t>Notwithstanding</w:t>
      </w:r>
      <w:r w:rsidRPr="005E05A0">
        <w:rPr>
          <w:color w:val="000000"/>
        </w:rPr>
        <w:t xml:space="preserve"> point a), the network group</w:t>
      </w:r>
      <w:r w:rsidR="00775371">
        <w:rPr>
          <w:color w:val="000000"/>
        </w:rPr>
        <w:t>s</w:t>
      </w:r>
      <w:r w:rsidRPr="005E05A0">
        <w:rPr>
          <w:color w:val="000000"/>
        </w:rPr>
        <w:t xml:space="preserve"> 054</w:t>
      </w:r>
      <w:r w:rsidR="00F26433">
        <w:rPr>
          <w:color w:val="000000"/>
        </w:rPr>
        <w:t xml:space="preserve"> Šamac –</w:t>
      </w:r>
      <w:r w:rsidR="00775371">
        <w:rPr>
          <w:color w:val="000000"/>
        </w:rPr>
        <w:t xml:space="preserve"> 055 Bijeljina – 031 </w:t>
      </w:r>
      <w:r w:rsidRPr="005E05A0">
        <w:rPr>
          <w:color w:val="000000"/>
        </w:rPr>
        <w:t>Posavina Canto</w:t>
      </w:r>
      <w:r w:rsidR="00F26433">
        <w:rPr>
          <w:color w:val="000000"/>
        </w:rPr>
        <w:t>n –</w:t>
      </w:r>
      <w:r w:rsidR="00775371">
        <w:rPr>
          <w:color w:val="000000"/>
        </w:rPr>
        <w:t xml:space="preserve"> 049 Brč</w:t>
      </w:r>
      <w:r w:rsidRPr="005E05A0">
        <w:rPr>
          <w:color w:val="000000"/>
        </w:rPr>
        <w:t>ko District</w:t>
      </w:r>
      <w:r w:rsidR="00775371">
        <w:rPr>
          <w:color w:val="000000"/>
        </w:rPr>
        <w:t xml:space="preserve"> BiH make up</w:t>
      </w:r>
      <w:r w:rsidRPr="005E05A0">
        <w:rPr>
          <w:color w:val="000000"/>
        </w:rPr>
        <w:t xml:space="preserve"> the area which </w:t>
      </w:r>
      <w:r w:rsidRPr="0004777F">
        <w:rPr>
          <w:color w:val="000000"/>
        </w:rPr>
        <w:t>is assigned</w:t>
      </w:r>
      <w:r w:rsidR="00775371">
        <w:rPr>
          <w:color w:val="000000"/>
        </w:rPr>
        <w:t xml:space="preserve"> </w:t>
      </w:r>
      <w:r w:rsidRPr="005E05A0">
        <w:rPr>
          <w:color w:val="000000"/>
        </w:rPr>
        <w:t xml:space="preserve">a unique </w:t>
      </w:r>
      <w:r w:rsidR="00775371" w:rsidRPr="0004777F">
        <w:rPr>
          <w:color w:val="000000"/>
        </w:rPr>
        <w:t>licence</w:t>
      </w:r>
      <w:r w:rsidR="00775371">
        <w:rPr>
          <w:color w:val="000000"/>
        </w:rPr>
        <w:t xml:space="preserve"> for a block</w:t>
      </w:r>
      <w:r w:rsidRPr="005E05A0">
        <w:rPr>
          <w:color w:val="000000"/>
        </w:rPr>
        <w:t>;</w:t>
      </w:r>
    </w:p>
    <w:p w14:paraId="4752FB47" w14:textId="77777777" w:rsidR="005E05A0" w:rsidRPr="005E05A0" w:rsidRDefault="00775371" w:rsidP="00F26433">
      <w:pPr>
        <w:pStyle w:val="ListParagraph"/>
        <w:numPr>
          <w:ilvl w:val="0"/>
          <w:numId w:val="19"/>
        </w:numPr>
        <w:spacing w:beforeLines="40" w:before="96" w:afterLines="40" w:after="96" w:line="288" w:lineRule="auto"/>
        <w:rPr>
          <w:color w:val="000000"/>
        </w:rPr>
      </w:pPr>
      <w:r>
        <w:rPr>
          <w:color w:val="000000"/>
        </w:rPr>
        <w:t xml:space="preserve">With a Public </w:t>
      </w:r>
      <w:r w:rsidRPr="0004777F">
        <w:rPr>
          <w:color w:val="000000"/>
        </w:rPr>
        <w:t>call</w:t>
      </w:r>
      <w:r w:rsidR="0004777F">
        <w:rPr>
          <w:color w:val="000000"/>
        </w:rPr>
        <w:t>,</w:t>
      </w:r>
      <w:r>
        <w:rPr>
          <w:color w:val="000000"/>
        </w:rPr>
        <w:t xml:space="preserve"> the Agency announces which </w:t>
      </w:r>
      <w:r w:rsidR="005E05A0" w:rsidRPr="005E05A0">
        <w:rPr>
          <w:color w:val="000000"/>
        </w:rPr>
        <w:t>frequency blocks</w:t>
      </w:r>
      <w:r>
        <w:rPr>
          <w:color w:val="000000"/>
        </w:rPr>
        <w:t xml:space="preserve"> </w:t>
      </w:r>
      <w:r w:rsidRPr="0004777F">
        <w:rPr>
          <w:color w:val="000000"/>
        </w:rPr>
        <w:t>are allocated</w:t>
      </w:r>
      <w:r>
        <w:rPr>
          <w:color w:val="000000"/>
        </w:rPr>
        <w:t xml:space="preserve"> for</w:t>
      </w:r>
      <w:r w:rsidR="005E05A0" w:rsidRPr="005E05A0">
        <w:rPr>
          <w:color w:val="000000"/>
        </w:rPr>
        <w:t xml:space="preserve"> the area of ​​Bosnia and Herzegovina and </w:t>
      </w:r>
      <w:r>
        <w:rPr>
          <w:color w:val="000000"/>
        </w:rPr>
        <w:t xml:space="preserve">which for </w:t>
      </w:r>
      <w:r w:rsidR="005E05A0" w:rsidRPr="005E05A0">
        <w:rPr>
          <w:color w:val="000000"/>
        </w:rPr>
        <w:t>the areas of network groups, as well as co</w:t>
      </w:r>
      <w:r>
        <w:rPr>
          <w:color w:val="000000"/>
        </w:rPr>
        <w:t>nditions of the grant</w:t>
      </w:r>
      <w:r w:rsidR="005E05A0" w:rsidRPr="005E05A0">
        <w:rPr>
          <w:color w:val="000000"/>
        </w:rPr>
        <w:t>;</w:t>
      </w:r>
    </w:p>
    <w:p w14:paraId="557EAF41" w14:textId="77777777" w:rsidR="005E05A0" w:rsidRPr="005E05A0" w:rsidRDefault="005E05A0" w:rsidP="00F26433">
      <w:pPr>
        <w:pStyle w:val="ListParagraph"/>
        <w:numPr>
          <w:ilvl w:val="0"/>
          <w:numId w:val="19"/>
        </w:numPr>
        <w:spacing w:beforeLines="40" w:before="96" w:afterLines="40" w:after="96" w:line="288" w:lineRule="auto"/>
        <w:rPr>
          <w:color w:val="000000"/>
        </w:rPr>
      </w:pPr>
      <w:r w:rsidRPr="005E05A0">
        <w:rPr>
          <w:color w:val="000000"/>
        </w:rPr>
        <w:t>The range of 3400-3600 MHz is the preferred range for mobile communications networks with use in the territory of Bosnia and Herzegovina;</w:t>
      </w:r>
    </w:p>
    <w:p w14:paraId="78162FFE" w14:textId="77777777" w:rsidR="005E05A0" w:rsidRDefault="005E05A0" w:rsidP="00F26433">
      <w:pPr>
        <w:pStyle w:val="ListParagraph"/>
        <w:numPr>
          <w:ilvl w:val="0"/>
          <w:numId w:val="19"/>
        </w:numPr>
        <w:spacing w:beforeLines="40" w:before="96" w:afterLines="40" w:after="96" w:line="288" w:lineRule="auto"/>
        <w:rPr>
          <w:color w:val="000000"/>
        </w:rPr>
      </w:pPr>
      <w:r w:rsidRPr="0004777F">
        <w:rPr>
          <w:color w:val="000000"/>
        </w:rPr>
        <w:t>I</w:t>
      </w:r>
      <w:r w:rsidR="0004777F">
        <w:rPr>
          <w:color w:val="000000"/>
        </w:rPr>
        <w:t>f</w:t>
      </w:r>
      <w:r w:rsidR="00775371">
        <w:rPr>
          <w:color w:val="000000"/>
        </w:rPr>
        <w:t xml:space="preserve"> </w:t>
      </w:r>
      <w:r w:rsidRPr="005E05A0">
        <w:rPr>
          <w:color w:val="000000"/>
        </w:rPr>
        <w:t>a greater number of applications</w:t>
      </w:r>
      <w:r w:rsidR="00775371">
        <w:rPr>
          <w:color w:val="000000"/>
        </w:rPr>
        <w:t xml:space="preserve"> </w:t>
      </w:r>
      <w:r w:rsidR="00775371" w:rsidRPr="0004777F">
        <w:rPr>
          <w:color w:val="000000"/>
        </w:rPr>
        <w:t>are submitted</w:t>
      </w:r>
      <w:r w:rsidRPr="005E05A0">
        <w:rPr>
          <w:color w:val="000000"/>
        </w:rPr>
        <w:t xml:space="preserve"> than the number of available radio frequency blocks</w:t>
      </w:r>
      <w:r w:rsidR="00775371" w:rsidRPr="00775371">
        <w:rPr>
          <w:color w:val="000000"/>
        </w:rPr>
        <w:t xml:space="preserve"> </w:t>
      </w:r>
      <w:r w:rsidR="00775371">
        <w:rPr>
          <w:color w:val="000000"/>
        </w:rPr>
        <w:t xml:space="preserve">for </w:t>
      </w:r>
      <w:r w:rsidR="00775371" w:rsidRPr="005E05A0">
        <w:rPr>
          <w:color w:val="000000"/>
        </w:rPr>
        <w:t>the territory</w:t>
      </w:r>
      <w:r w:rsidR="00775371">
        <w:rPr>
          <w:color w:val="000000"/>
        </w:rPr>
        <w:t xml:space="preserve"> of Bosnia and Herzegovina or a network group</w:t>
      </w:r>
      <w:r w:rsidRPr="005E05A0">
        <w:rPr>
          <w:color w:val="000000"/>
        </w:rPr>
        <w:t xml:space="preserve">, the Agency will carry out the procedure which will determine which operator best fulfills the requirements for obtaining a </w:t>
      </w:r>
      <w:r w:rsidR="00376690" w:rsidRPr="0004777F">
        <w:rPr>
          <w:color w:val="000000"/>
        </w:rPr>
        <w:t>licence</w:t>
      </w:r>
      <w:r w:rsidRPr="005E05A0">
        <w:rPr>
          <w:color w:val="000000"/>
        </w:rPr>
        <w:t>.</w:t>
      </w:r>
    </w:p>
    <w:p w14:paraId="063C2C3F" w14:textId="77777777" w:rsidR="00C47F01" w:rsidRDefault="005E05A0" w:rsidP="00F26433">
      <w:pPr>
        <w:spacing w:beforeLines="40" w:before="96" w:afterLines="40" w:after="96" w:line="288" w:lineRule="auto"/>
        <w:ind w:firstLine="0"/>
        <w:rPr>
          <w:b/>
          <w:color w:val="000000"/>
        </w:rPr>
      </w:pPr>
      <w:r w:rsidRPr="005E05A0">
        <w:rPr>
          <w:color w:val="000000"/>
        </w:rPr>
        <w:t xml:space="preserve">(2) Blocks intended for </w:t>
      </w:r>
      <w:r w:rsidR="00CD436B" w:rsidRPr="005E05A0">
        <w:rPr>
          <w:color w:val="000000"/>
        </w:rPr>
        <w:t>state authorities</w:t>
      </w:r>
      <w:r w:rsidRPr="005E05A0">
        <w:rPr>
          <w:color w:val="000000"/>
        </w:rPr>
        <w:t xml:space="preserve"> for use are </w:t>
      </w:r>
      <w:r w:rsidR="00775371">
        <w:rPr>
          <w:color w:val="000000"/>
        </w:rPr>
        <w:t>not subject to public calls</w:t>
      </w:r>
      <w:r w:rsidRPr="005E05A0">
        <w:rPr>
          <w:color w:val="000000"/>
        </w:rPr>
        <w:t>.</w:t>
      </w:r>
    </w:p>
    <w:p w14:paraId="4D7A21DC" w14:textId="77777777" w:rsidR="002C6E51" w:rsidRDefault="002C6E51" w:rsidP="00717A0F">
      <w:pPr>
        <w:spacing w:after="0" w:line="288" w:lineRule="auto"/>
        <w:ind w:firstLine="0"/>
        <w:jc w:val="center"/>
        <w:rPr>
          <w:b/>
          <w:color w:val="000000"/>
        </w:rPr>
      </w:pPr>
    </w:p>
    <w:p w14:paraId="6171DEDE" w14:textId="77777777" w:rsidR="00202632" w:rsidRDefault="00202632" w:rsidP="00717A0F">
      <w:pPr>
        <w:spacing w:after="0" w:line="288" w:lineRule="auto"/>
        <w:ind w:firstLine="0"/>
        <w:jc w:val="center"/>
        <w:rPr>
          <w:b/>
          <w:color w:val="000000"/>
        </w:rPr>
      </w:pPr>
    </w:p>
    <w:p w14:paraId="687FE4B4" w14:textId="77777777" w:rsidR="00101CED" w:rsidRPr="00DB0B79" w:rsidRDefault="00611AC5" w:rsidP="00717A0F">
      <w:pPr>
        <w:spacing w:after="0" w:line="288" w:lineRule="auto"/>
        <w:ind w:firstLine="0"/>
        <w:jc w:val="center"/>
        <w:rPr>
          <w:b/>
          <w:color w:val="000000"/>
        </w:rPr>
      </w:pPr>
      <w:r>
        <w:rPr>
          <w:b/>
          <w:color w:val="000000"/>
        </w:rPr>
        <w:t>Article</w:t>
      </w:r>
      <w:r w:rsidR="00101CED" w:rsidRPr="00DB0B79">
        <w:rPr>
          <w:b/>
          <w:color w:val="000000"/>
        </w:rPr>
        <w:t xml:space="preserve"> </w:t>
      </w:r>
      <w:r w:rsidR="00256A6C">
        <w:rPr>
          <w:b/>
          <w:color w:val="000000"/>
        </w:rPr>
        <w:t>1</w:t>
      </w:r>
      <w:r w:rsidR="00FC7B67">
        <w:rPr>
          <w:b/>
          <w:color w:val="000000"/>
        </w:rPr>
        <w:t>1</w:t>
      </w:r>
    </w:p>
    <w:p w14:paraId="0D75C97A" w14:textId="77777777" w:rsidR="00101CED" w:rsidRPr="00DB0B79" w:rsidRDefault="005E05A0" w:rsidP="00E43E61">
      <w:pPr>
        <w:spacing w:after="120" w:line="288" w:lineRule="auto"/>
        <w:ind w:firstLine="0"/>
        <w:jc w:val="center"/>
        <w:rPr>
          <w:b/>
          <w:color w:val="000000"/>
        </w:rPr>
      </w:pPr>
      <w:r>
        <w:rPr>
          <w:b/>
          <w:color w:val="000000"/>
        </w:rPr>
        <w:t xml:space="preserve">(Validity of </w:t>
      </w:r>
      <w:r w:rsidRPr="0004777F">
        <w:rPr>
          <w:b/>
          <w:color w:val="000000"/>
        </w:rPr>
        <w:t>licence</w:t>
      </w:r>
      <w:r w:rsidR="00101CED" w:rsidRPr="00DB0B79">
        <w:rPr>
          <w:b/>
          <w:color w:val="000000"/>
        </w:rPr>
        <w:t>)</w:t>
      </w:r>
    </w:p>
    <w:p w14:paraId="7ABEF900" w14:textId="77777777" w:rsidR="005E05A0" w:rsidRPr="005E05A0" w:rsidRDefault="005E05A0" w:rsidP="00F26433">
      <w:pPr>
        <w:pStyle w:val="ListParagraph"/>
        <w:numPr>
          <w:ilvl w:val="0"/>
          <w:numId w:val="17"/>
        </w:numPr>
        <w:spacing w:beforeLines="40" w:before="96" w:afterLines="40" w:after="96" w:line="288" w:lineRule="auto"/>
        <w:rPr>
          <w:color w:val="000000"/>
        </w:rPr>
      </w:pPr>
      <w:r w:rsidRPr="005E05A0">
        <w:rPr>
          <w:color w:val="000000"/>
        </w:rPr>
        <w:t xml:space="preserve">A block </w:t>
      </w:r>
      <w:r w:rsidR="00376690" w:rsidRPr="0004777F">
        <w:rPr>
          <w:color w:val="000000"/>
        </w:rPr>
        <w:t>licence</w:t>
      </w:r>
      <w:r w:rsidRPr="005E05A0">
        <w:rPr>
          <w:color w:val="000000"/>
        </w:rPr>
        <w:t xml:space="preserve"> shall </w:t>
      </w:r>
      <w:r w:rsidRPr="0004777F">
        <w:rPr>
          <w:color w:val="000000"/>
        </w:rPr>
        <w:t>be issued</w:t>
      </w:r>
      <w:r w:rsidRPr="005E05A0">
        <w:rPr>
          <w:color w:val="000000"/>
        </w:rPr>
        <w:t xml:space="preserve"> for </w:t>
      </w:r>
      <w:r w:rsidRPr="0004777F">
        <w:rPr>
          <w:color w:val="000000"/>
        </w:rPr>
        <w:t>10</w:t>
      </w:r>
      <w:r w:rsidRPr="005E05A0">
        <w:rPr>
          <w:color w:val="000000"/>
        </w:rPr>
        <w:t xml:space="preserve"> years, and by issuing the </w:t>
      </w:r>
      <w:r w:rsidR="00376690" w:rsidRPr="0004777F">
        <w:rPr>
          <w:color w:val="000000"/>
        </w:rPr>
        <w:t>licence</w:t>
      </w:r>
      <w:r w:rsidRPr="005E05A0">
        <w:rPr>
          <w:color w:val="000000"/>
        </w:rPr>
        <w:t xml:space="preserve">, the holder shall be entitled to use the radio frequency block granted </w:t>
      </w:r>
      <w:r w:rsidRPr="0004777F">
        <w:rPr>
          <w:color w:val="000000"/>
        </w:rPr>
        <w:t>pursuant to</w:t>
      </w:r>
      <w:r w:rsidRPr="005E05A0">
        <w:rPr>
          <w:color w:val="000000"/>
        </w:rPr>
        <w:t xml:space="preserve"> this Rule and the obligations arising </w:t>
      </w:r>
      <w:r w:rsidRPr="0004777F">
        <w:rPr>
          <w:color w:val="000000"/>
        </w:rPr>
        <w:t>therefrom</w:t>
      </w:r>
      <w:r w:rsidRPr="005E05A0">
        <w:rPr>
          <w:color w:val="000000"/>
        </w:rPr>
        <w:t>.</w:t>
      </w:r>
    </w:p>
    <w:p w14:paraId="0B63713C" w14:textId="77777777" w:rsidR="00562999" w:rsidRPr="005E05A0" w:rsidRDefault="00376690" w:rsidP="00F26433">
      <w:pPr>
        <w:pStyle w:val="ListParagraph"/>
        <w:numPr>
          <w:ilvl w:val="0"/>
          <w:numId w:val="17"/>
        </w:numPr>
        <w:spacing w:beforeLines="40" w:before="96" w:afterLines="40" w:after="96" w:line="288" w:lineRule="auto"/>
        <w:rPr>
          <w:color w:val="000000"/>
        </w:rPr>
      </w:pPr>
      <w:r>
        <w:rPr>
          <w:color w:val="000000"/>
        </w:rPr>
        <w:t xml:space="preserve">The term of validity of a </w:t>
      </w:r>
      <w:r w:rsidRPr="0004777F">
        <w:rPr>
          <w:color w:val="000000"/>
        </w:rPr>
        <w:t>licence</w:t>
      </w:r>
      <w:r w:rsidR="005E05A0" w:rsidRPr="005E05A0">
        <w:rPr>
          <w:color w:val="000000"/>
        </w:rPr>
        <w:t xml:space="preserve"> may be changed by the Agency's </w:t>
      </w:r>
      <w:r w:rsidR="005E05A0" w:rsidRPr="0004777F">
        <w:rPr>
          <w:color w:val="000000"/>
        </w:rPr>
        <w:t>decision</w:t>
      </w:r>
      <w:r w:rsidR="005E05A0" w:rsidRPr="005E05A0">
        <w:rPr>
          <w:color w:val="000000"/>
        </w:rPr>
        <w:t xml:space="preserve"> if it is </w:t>
      </w:r>
      <w:r w:rsidR="005E05A0" w:rsidRPr="0004777F">
        <w:rPr>
          <w:color w:val="000000"/>
        </w:rPr>
        <w:t>in accordance with</w:t>
      </w:r>
      <w:r w:rsidR="005E05A0" w:rsidRPr="005E05A0">
        <w:rPr>
          <w:color w:val="000000"/>
        </w:rPr>
        <w:t xml:space="preserve"> the international recommendat</w:t>
      </w:r>
      <w:r>
        <w:rPr>
          <w:color w:val="000000"/>
        </w:rPr>
        <w:t xml:space="preserve">ions and the Allocation and utilization plan for </w:t>
      </w:r>
      <w:r w:rsidR="005E05A0" w:rsidRPr="005E05A0">
        <w:rPr>
          <w:color w:val="000000"/>
        </w:rPr>
        <w:t>the Radio Frequency Spectrum in BiH.</w:t>
      </w:r>
    </w:p>
    <w:p w14:paraId="00FBC492" w14:textId="77777777" w:rsidR="005E05A0" w:rsidRDefault="005E05A0" w:rsidP="005E05A0">
      <w:pPr>
        <w:spacing w:after="0" w:line="240" w:lineRule="auto"/>
        <w:ind w:firstLine="0"/>
        <w:jc w:val="left"/>
        <w:rPr>
          <w:b/>
          <w:color w:val="000000"/>
        </w:rPr>
      </w:pPr>
    </w:p>
    <w:p w14:paraId="55B0CA3D" w14:textId="77777777" w:rsidR="005E05A0" w:rsidRDefault="005E05A0" w:rsidP="00376690">
      <w:pPr>
        <w:spacing w:after="0" w:line="288" w:lineRule="auto"/>
        <w:ind w:firstLine="0"/>
        <w:rPr>
          <w:b/>
          <w:color w:val="000000"/>
        </w:rPr>
      </w:pPr>
    </w:p>
    <w:p w14:paraId="7A4B5EA6" w14:textId="77777777" w:rsidR="00101CED" w:rsidRPr="00DB0B79" w:rsidRDefault="00611AC5" w:rsidP="00717A0F">
      <w:pPr>
        <w:spacing w:after="0" w:line="288" w:lineRule="auto"/>
        <w:ind w:firstLine="0"/>
        <w:jc w:val="center"/>
        <w:rPr>
          <w:b/>
          <w:color w:val="000000"/>
        </w:rPr>
      </w:pPr>
      <w:r>
        <w:rPr>
          <w:b/>
          <w:color w:val="000000"/>
        </w:rPr>
        <w:lastRenderedPageBreak/>
        <w:t>Article</w:t>
      </w:r>
      <w:r w:rsidR="00101CED" w:rsidRPr="00DB0B79">
        <w:rPr>
          <w:b/>
          <w:color w:val="000000"/>
        </w:rPr>
        <w:t xml:space="preserve"> </w:t>
      </w:r>
      <w:r w:rsidR="007B3CB9" w:rsidRPr="00DB0B79">
        <w:rPr>
          <w:b/>
          <w:color w:val="000000"/>
        </w:rPr>
        <w:t>1</w:t>
      </w:r>
      <w:r w:rsidR="00FC7B67">
        <w:rPr>
          <w:b/>
          <w:color w:val="000000"/>
        </w:rPr>
        <w:t>2</w:t>
      </w:r>
    </w:p>
    <w:p w14:paraId="387AFF77" w14:textId="77777777" w:rsidR="00101CED" w:rsidRPr="00DB0B79" w:rsidRDefault="00630C4E" w:rsidP="00E43E61">
      <w:pPr>
        <w:spacing w:after="120" w:line="288" w:lineRule="auto"/>
        <w:ind w:firstLine="0"/>
        <w:jc w:val="center"/>
        <w:rPr>
          <w:b/>
          <w:color w:val="000000"/>
        </w:rPr>
      </w:pPr>
      <w:r w:rsidRPr="00DB0B79">
        <w:rPr>
          <w:b/>
          <w:color w:val="000000"/>
        </w:rPr>
        <w:t>(</w:t>
      </w:r>
      <w:r w:rsidR="00376690">
        <w:rPr>
          <w:b/>
          <w:color w:val="000000"/>
        </w:rPr>
        <w:t>Licence</w:t>
      </w:r>
      <w:r w:rsidR="005E05A0" w:rsidRPr="005E05A0">
        <w:rPr>
          <w:b/>
          <w:color w:val="000000"/>
        </w:rPr>
        <w:t xml:space="preserve"> for</w:t>
      </w:r>
      <w:r w:rsidR="00376690">
        <w:rPr>
          <w:b/>
          <w:color w:val="000000"/>
        </w:rPr>
        <w:t xml:space="preserve"> a</w:t>
      </w:r>
      <w:r w:rsidR="005E05A0" w:rsidRPr="005E05A0">
        <w:rPr>
          <w:b/>
          <w:color w:val="000000"/>
        </w:rPr>
        <w:t xml:space="preserve"> base station in the assigned block</w:t>
      </w:r>
      <w:r w:rsidR="00101CED" w:rsidRPr="00DB0B79">
        <w:rPr>
          <w:b/>
          <w:color w:val="000000"/>
        </w:rPr>
        <w:t xml:space="preserve">) </w:t>
      </w:r>
    </w:p>
    <w:p w14:paraId="61A74721" w14:textId="77777777" w:rsidR="005E05A0" w:rsidRPr="005E05A0" w:rsidRDefault="005E05A0" w:rsidP="00CD436B">
      <w:pPr>
        <w:pStyle w:val="ListParagraph"/>
        <w:numPr>
          <w:ilvl w:val="0"/>
          <w:numId w:val="16"/>
        </w:numPr>
        <w:spacing w:beforeLines="40" w:before="96" w:afterLines="40" w:after="96" w:line="288" w:lineRule="auto"/>
        <w:rPr>
          <w:color w:val="000000"/>
        </w:rPr>
      </w:pPr>
      <w:r w:rsidRPr="0004777F">
        <w:rPr>
          <w:color w:val="000000"/>
        </w:rPr>
        <w:t>Prior to</w:t>
      </w:r>
      <w:r w:rsidRPr="005E05A0">
        <w:rPr>
          <w:color w:val="000000"/>
        </w:rPr>
        <w:t xml:space="preserve"> installing and operating a base station using frequencies from the assigned r</w:t>
      </w:r>
      <w:r w:rsidR="00376690">
        <w:rPr>
          <w:color w:val="000000"/>
        </w:rPr>
        <w:t xml:space="preserve">adio frequency block, the </w:t>
      </w:r>
      <w:r w:rsidR="00376690" w:rsidRPr="00601D7A">
        <w:rPr>
          <w:color w:val="000000"/>
        </w:rPr>
        <w:t>licenc</w:t>
      </w:r>
      <w:r w:rsidRPr="00601D7A">
        <w:rPr>
          <w:color w:val="000000"/>
        </w:rPr>
        <w:t>e</w:t>
      </w:r>
      <w:r w:rsidRPr="005E05A0">
        <w:rPr>
          <w:color w:val="000000"/>
        </w:rPr>
        <w:t xml:space="preserve"> holder of the frequency block shall apply for a base station </w:t>
      </w:r>
      <w:r w:rsidR="00376690" w:rsidRPr="00601D7A">
        <w:rPr>
          <w:color w:val="000000"/>
        </w:rPr>
        <w:t>licence</w:t>
      </w:r>
      <w:r w:rsidRPr="005E05A0">
        <w:rPr>
          <w:color w:val="000000"/>
        </w:rPr>
        <w:t xml:space="preserve"> issue.</w:t>
      </w:r>
    </w:p>
    <w:p w14:paraId="6960A117" w14:textId="77777777" w:rsidR="005E05A0" w:rsidRPr="005E05A0" w:rsidRDefault="005E05A0" w:rsidP="00CD436B">
      <w:pPr>
        <w:pStyle w:val="ListParagraph"/>
        <w:numPr>
          <w:ilvl w:val="0"/>
          <w:numId w:val="16"/>
        </w:numPr>
        <w:spacing w:beforeLines="40" w:before="96" w:afterLines="40" w:after="96" w:line="288" w:lineRule="auto"/>
        <w:rPr>
          <w:color w:val="000000"/>
        </w:rPr>
      </w:pPr>
      <w:r w:rsidRPr="005E05A0">
        <w:rPr>
          <w:color w:val="000000"/>
        </w:rPr>
        <w:t xml:space="preserve">The application for issuing a base station </w:t>
      </w:r>
      <w:r w:rsidR="00376690" w:rsidRPr="00601D7A">
        <w:rPr>
          <w:color w:val="000000"/>
        </w:rPr>
        <w:t>licence</w:t>
      </w:r>
      <w:r w:rsidRPr="005E05A0">
        <w:rPr>
          <w:color w:val="000000"/>
        </w:rPr>
        <w:t xml:space="preserve"> shall </w:t>
      </w:r>
      <w:r w:rsidRPr="00601D7A">
        <w:rPr>
          <w:color w:val="000000"/>
        </w:rPr>
        <w:t>be made</w:t>
      </w:r>
      <w:r w:rsidRPr="005E05A0">
        <w:rPr>
          <w:color w:val="000000"/>
        </w:rPr>
        <w:t xml:space="preserve"> </w:t>
      </w:r>
      <w:r w:rsidRPr="00601D7A">
        <w:rPr>
          <w:color w:val="000000"/>
        </w:rPr>
        <w:t>in accordance with</w:t>
      </w:r>
      <w:r w:rsidRPr="005E05A0">
        <w:rPr>
          <w:color w:val="000000"/>
        </w:rPr>
        <w:t xml:space="preserve"> the rules of the Agency.</w:t>
      </w:r>
    </w:p>
    <w:p w14:paraId="3B10E2F8" w14:textId="77777777" w:rsidR="005E05A0" w:rsidRPr="005E05A0" w:rsidRDefault="005E05A0" w:rsidP="00CD436B">
      <w:pPr>
        <w:pStyle w:val="ListParagraph"/>
        <w:numPr>
          <w:ilvl w:val="0"/>
          <w:numId w:val="16"/>
        </w:numPr>
        <w:spacing w:beforeLines="40" w:before="96" w:afterLines="40" w:after="96" w:line="288" w:lineRule="auto"/>
        <w:rPr>
          <w:color w:val="000000"/>
        </w:rPr>
      </w:pPr>
      <w:r w:rsidRPr="005E05A0">
        <w:rPr>
          <w:color w:val="000000"/>
        </w:rPr>
        <w:t xml:space="preserve">A </w:t>
      </w:r>
      <w:r w:rsidR="00376690" w:rsidRPr="00601D7A">
        <w:rPr>
          <w:color w:val="000000"/>
        </w:rPr>
        <w:t>licence</w:t>
      </w:r>
      <w:r w:rsidRPr="005E05A0">
        <w:rPr>
          <w:color w:val="000000"/>
        </w:rPr>
        <w:t xml:space="preserve"> for a base station operating in a given block shall </w:t>
      </w:r>
      <w:r w:rsidRPr="00601D7A">
        <w:rPr>
          <w:color w:val="000000"/>
        </w:rPr>
        <w:t>be issued</w:t>
      </w:r>
      <w:r w:rsidRPr="005E05A0">
        <w:rPr>
          <w:color w:val="000000"/>
        </w:rPr>
        <w:t xml:space="preserve"> for the period of validity of the </w:t>
      </w:r>
      <w:r w:rsidR="00376690" w:rsidRPr="00601D7A">
        <w:rPr>
          <w:color w:val="000000"/>
        </w:rPr>
        <w:t>licence</w:t>
      </w:r>
      <w:r w:rsidRPr="005E05A0">
        <w:rPr>
          <w:color w:val="000000"/>
        </w:rPr>
        <w:t xml:space="preserve"> for the use of the assigned radio frequency block.</w:t>
      </w:r>
    </w:p>
    <w:p w14:paraId="11E0285A" w14:textId="77777777" w:rsidR="005E05A0" w:rsidRPr="005E05A0" w:rsidRDefault="005E05A0" w:rsidP="00CD436B">
      <w:pPr>
        <w:pStyle w:val="ListParagraph"/>
        <w:numPr>
          <w:ilvl w:val="0"/>
          <w:numId w:val="16"/>
        </w:numPr>
        <w:spacing w:beforeLines="40" w:before="96" w:afterLines="40" w:after="96" w:line="288" w:lineRule="auto"/>
        <w:rPr>
          <w:color w:val="000000"/>
        </w:rPr>
      </w:pPr>
      <w:r w:rsidRPr="005E05A0">
        <w:rPr>
          <w:color w:val="000000"/>
        </w:rPr>
        <w:t xml:space="preserve">Notwithstanding paragraph (1) of this Article, </w:t>
      </w:r>
      <w:r w:rsidR="00376690">
        <w:rPr>
          <w:color w:val="000000"/>
        </w:rPr>
        <w:t xml:space="preserve">for </w:t>
      </w:r>
      <w:r w:rsidR="00376690" w:rsidRPr="005E05A0">
        <w:rPr>
          <w:color w:val="000000"/>
        </w:rPr>
        <w:t>base stations of mobile communication networks</w:t>
      </w:r>
      <w:r w:rsidR="00376690">
        <w:rPr>
          <w:color w:val="000000"/>
        </w:rPr>
        <w:t xml:space="preserve"> used in the area of Bosnia and Herzegovina, </w:t>
      </w:r>
      <w:r w:rsidRPr="005E05A0">
        <w:rPr>
          <w:color w:val="000000"/>
        </w:rPr>
        <w:t xml:space="preserve">the Agency shall not issue individual </w:t>
      </w:r>
      <w:r w:rsidR="00376690" w:rsidRPr="00601D7A">
        <w:rPr>
          <w:color w:val="000000"/>
        </w:rPr>
        <w:t>licences</w:t>
      </w:r>
      <w:r w:rsidR="00376690">
        <w:rPr>
          <w:color w:val="000000"/>
        </w:rPr>
        <w:t xml:space="preserve"> but may request from the o</w:t>
      </w:r>
      <w:r w:rsidRPr="005E05A0">
        <w:rPr>
          <w:color w:val="000000"/>
        </w:rPr>
        <w:t>perator the submission of reports with specified base station parameters in the manner and the form specified by the Agency.</w:t>
      </w:r>
    </w:p>
    <w:p w14:paraId="5F78B985" w14:textId="77777777" w:rsidR="005E05A0" w:rsidRPr="005E05A0" w:rsidRDefault="005E05A0" w:rsidP="00CD436B">
      <w:pPr>
        <w:pStyle w:val="ListParagraph"/>
        <w:numPr>
          <w:ilvl w:val="0"/>
          <w:numId w:val="16"/>
        </w:numPr>
        <w:spacing w:beforeLines="40" w:before="96" w:afterLines="40" w:after="96" w:line="288" w:lineRule="auto"/>
        <w:rPr>
          <w:color w:val="000000"/>
        </w:rPr>
      </w:pPr>
      <w:r w:rsidRPr="005E05A0">
        <w:rPr>
          <w:color w:val="000000"/>
        </w:rPr>
        <w:t xml:space="preserve">Notwithstanding paragraph 1 of this Article, the state authorities shall not apply for the issuance of individual </w:t>
      </w:r>
      <w:r w:rsidR="00376690" w:rsidRPr="00601D7A">
        <w:rPr>
          <w:color w:val="000000"/>
        </w:rPr>
        <w:t>licence</w:t>
      </w:r>
      <w:r w:rsidRPr="00601D7A">
        <w:rPr>
          <w:color w:val="000000"/>
        </w:rPr>
        <w:t>s</w:t>
      </w:r>
      <w:r w:rsidRPr="005E05A0">
        <w:rPr>
          <w:color w:val="000000"/>
        </w:rPr>
        <w:t xml:space="preserve"> for base stations, but by a separate agreement with the Agency regulate the use of frequency blocks </w:t>
      </w:r>
      <w:r w:rsidRPr="00601D7A">
        <w:rPr>
          <w:color w:val="000000"/>
        </w:rPr>
        <w:t>in accordance with</w:t>
      </w:r>
      <w:r w:rsidRPr="005E05A0">
        <w:rPr>
          <w:color w:val="000000"/>
        </w:rPr>
        <w:t xml:space="preserve"> Article 1, paragraph 3 of the </w:t>
      </w:r>
      <w:r w:rsidR="00376690">
        <w:rPr>
          <w:color w:val="000000"/>
        </w:rPr>
        <w:t>Law on Communications of BiH</w:t>
      </w:r>
      <w:r w:rsidRPr="005E05A0">
        <w:rPr>
          <w:color w:val="000000"/>
        </w:rPr>
        <w:t>.</w:t>
      </w:r>
    </w:p>
    <w:p w14:paraId="3571FF54" w14:textId="77777777" w:rsidR="005B59C0" w:rsidRPr="00DB0B79" w:rsidRDefault="00611AC5" w:rsidP="005E05A0">
      <w:pPr>
        <w:spacing w:after="0" w:line="288" w:lineRule="auto"/>
        <w:ind w:firstLine="0"/>
        <w:jc w:val="center"/>
        <w:rPr>
          <w:b/>
          <w:color w:val="000000"/>
        </w:rPr>
      </w:pPr>
      <w:r>
        <w:rPr>
          <w:b/>
          <w:color w:val="000000"/>
        </w:rPr>
        <w:t>Article</w:t>
      </w:r>
      <w:r w:rsidR="005B59C0" w:rsidRPr="00DB0B79">
        <w:rPr>
          <w:b/>
          <w:color w:val="000000"/>
        </w:rPr>
        <w:t xml:space="preserve"> 1</w:t>
      </w:r>
      <w:r w:rsidR="00FC7B67">
        <w:rPr>
          <w:b/>
          <w:color w:val="000000"/>
        </w:rPr>
        <w:t>3</w:t>
      </w:r>
    </w:p>
    <w:p w14:paraId="715D1573" w14:textId="77777777" w:rsidR="005B59C0" w:rsidRPr="00DB0B79" w:rsidRDefault="005B59C0" w:rsidP="004F1CC1">
      <w:pPr>
        <w:spacing w:after="0" w:line="288" w:lineRule="auto"/>
        <w:ind w:firstLine="0"/>
        <w:jc w:val="center"/>
        <w:rPr>
          <w:b/>
          <w:color w:val="000000"/>
        </w:rPr>
      </w:pPr>
      <w:r w:rsidRPr="00DB0B79">
        <w:rPr>
          <w:b/>
          <w:color w:val="000000"/>
        </w:rPr>
        <w:t>(</w:t>
      </w:r>
      <w:r w:rsidR="00376690">
        <w:rPr>
          <w:b/>
          <w:color w:val="000000"/>
        </w:rPr>
        <w:t>Cessation of validity</w:t>
      </w:r>
      <w:r w:rsidRPr="00DB0B79">
        <w:rPr>
          <w:b/>
          <w:color w:val="000000"/>
        </w:rPr>
        <w:t>)</w:t>
      </w:r>
    </w:p>
    <w:p w14:paraId="1B0CD81D" w14:textId="77777777" w:rsidR="005E05A0" w:rsidRDefault="005E05A0" w:rsidP="00CD436B">
      <w:pPr>
        <w:spacing w:beforeLines="40" w:before="96" w:afterLines="40" w:after="96" w:line="288" w:lineRule="auto"/>
        <w:ind w:firstLine="0"/>
        <w:rPr>
          <w:color w:val="000000"/>
        </w:rPr>
      </w:pPr>
      <w:r w:rsidRPr="005E05A0">
        <w:rPr>
          <w:color w:val="000000"/>
        </w:rPr>
        <w:t>On the date of entry into force of this Rule, Rule 74/2014 on the Use of the Radio Frequency Ranges 3400-3600 MHz and 3600-3800 MHz ('Official Gazette of BiH</w:t>
      </w:r>
      <w:r w:rsidR="0004777F">
        <w:rPr>
          <w:color w:val="000000"/>
        </w:rPr>
        <w:t>,'</w:t>
      </w:r>
      <w:r w:rsidRPr="005E05A0">
        <w:rPr>
          <w:color w:val="000000"/>
        </w:rPr>
        <w:t xml:space="preserve"> No. 99/14) shall cease to be valid.</w:t>
      </w:r>
    </w:p>
    <w:p w14:paraId="56CB8369" w14:textId="77777777" w:rsidR="00536699" w:rsidRDefault="00611AC5" w:rsidP="00880241">
      <w:pPr>
        <w:spacing w:before="120" w:after="0" w:line="288" w:lineRule="auto"/>
        <w:ind w:firstLine="0"/>
        <w:jc w:val="center"/>
        <w:rPr>
          <w:b/>
          <w:color w:val="000000"/>
        </w:rPr>
      </w:pPr>
      <w:r>
        <w:rPr>
          <w:b/>
          <w:color w:val="000000"/>
        </w:rPr>
        <w:t>Article</w:t>
      </w:r>
      <w:r w:rsidR="00536699" w:rsidRPr="00DB0B79">
        <w:rPr>
          <w:b/>
          <w:color w:val="000000"/>
        </w:rPr>
        <w:t xml:space="preserve"> </w:t>
      </w:r>
      <w:r w:rsidR="00FF1223" w:rsidRPr="00DB0B79">
        <w:rPr>
          <w:b/>
          <w:color w:val="000000"/>
        </w:rPr>
        <w:t>1</w:t>
      </w:r>
      <w:r w:rsidR="00FC7B67">
        <w:rPr>
          <w:b/>
          <w:color w:val="000000"/>
        </w:rPr>
        <w:t>4</w:t>
      </w:r>
    </w:p>
    <w:p w14:paraId="587D39CC" w14:textId="77777777" w:rsidR="00027A5E" w:rsidRPr="00027A5E" w:rsidRDefault="00027A5E" w:rsidP="00F24F56">
      <w:pPr>
        <w:spacing w:after="0" w:line="288" w:lineRule="auto"/>
        <w:ind w:firstLine="0"/>
        <w:jc w:val="center"/>
        <w:rPr>
          <w:b/>
          <w:color w:val="000000"/>
        </w:rPr>
      </w:pPr>
      <w:r w:rsidRPr="00027A5E">
        <w:rPr>
          <w:b/>
          <w:color w:val="000000"/>
        </w:rPr>
        <w:t>(</w:t>
      </w:r>
      <w:r w:rsidR="005E05A0">
        <w:rPr>
          <w:b/>
          <w:color w:val="000000"/>
        </w:rPr>
        <w:t xml:space="preserve">Harmonization of the Rule </w:t>
      </w:r>
      <w:r w:rsidR="005E05A0" w:rsidRPr="003E5E42">
        <w:rPr>
          <w:b/>
          <w:color w:val="000000"/>
        </w:rPr>
        <w:t>with the acquis communautaire of the European Union</w:t>
      </w:r>
      <w:r w:rsidRPr="00027A5E">
        <w:rPr>
          <w:b/>
          <w:color w:val="000000"/>
        </w:rPr>
        <w:t>)</w:t>
      </w:r>
    </w:p>
    <w:p w14:paraId="571F1B1A" w14:textId="77777777" w:rsidR="005E05A0" w:rsidRDefault="005E05A0" w:rsidP="005E05A0">
      <w:pPr>
        <w:spacing w:before="120" w:after="0" w:line="288" w:lineRule="auto"/>
        <w:ind w:firstLine="0"/>
        <w:rPr>
          <w:color w:val="000000"/>
        </w:rPr>
      </w:pPr>
      <w:r w:rsidRPr="005E05A0">
        <w:rPr>
          <w:color w:val="000000"/>
        </w:rPr>
        <w:t>This Rule implements the provisions of Commission Decision 2008/411</w:t>
      </w:r>
      <w:r w:rsidR="00611AC5">
        <w:rPr>
          <w:color w:val="000000"/>
        </w:rPr>
        <w:t>/</w:t>
      </w:r>
      <w:r w:rsidRPr="005E05A0">
        <w:rPr>
          <w:color w:val="000000"/>
        </w:rPr>
        <w:t>EC of 21 May 2008 on the harmonization of the 3400-3800 MHz frequency band for terrestrial systems providing electronic communications services in the Commu</w:t>
      </w:r>
      <w:r w:rsidR="00376690">
        <w:rPr>
          <w:color w:val="000000"/>
        </w:rPr>
        <w:t>nity (notified under document C(2008) 1873), (Text of</w:t>
      </w:r>
      <w:r w:rsidRPr="005E05A0">
        <w:rPr>
          <w:color w:val="000000"/>
        </w:rPr>
        <w:t xml:space="preserve"> EGP</w:t>
      </w:r>
      <w:r w:rsidR="00376690">
        <w:rPr>
          <w:color w:val="000000"/>
        </w:rPr>
        <w:t xml:space="preserve"> relevance</w:t>
      </w:r>
      <w:r w:rsidRPr="005E05A0">
        <w:rPr>
          <w:color w:val="000000"/>
        </w:rPr>
        <w:t>).</w:t>
      </w:r>
    </w:p>
    <w:p w14:paraId="5F5FA609" w14:textId="77777777" w:rsidR="00027A5E" w:rsidRPr="00DB0B79" w:rsidRDefault="00611AC5" w:rsidP="00880241">
      <w:pPr>
        <w:spacing w:before="120" w:after="0" w:line="288" w:lineRule="auto"/>
        <w:ind w:firstLine="0"/>
        <w:jc w:val="center"/>
        <w:rPr>
          <w:b/>
          <w:color w:val="000000"/>
        </w:rPr>
      </w:pPr>
      <w:r>
        <w:rPr>
          <w:b/>
          <w:color w:val="000000"/>
        </w:rPr>
        <w:t>Article</w:t>
      </w:r>
      <w:r w:rsidR="005E05A0">
        <w:rPr>
          <w:b/>
          <w:color w:val="000000"/>
        </w:rPr>
        <w:t xml:space="preserve"> 15</w:t>
      </w:r>
    </w:p>
    <w:p w14:paraId="73718F31" w14:textId="77777777" w:rsidR="00536699" w:rsidRPr="00DB0B79" w:rsidRDefault="00596075" w:rsidP="004F1CC1">
      <w:pPr>
        <w:spacing w:after="0" w:line="288" w:lineRule="auto"/>
        <w:ind w:firstLine="0"/>
        <w:jc w:val="center"/>
        <w:rPr>
          <w:b/>
          <w:color w:val="000000"/>
        </w:rPr>
      </w:pPr>
      <w:r>
        <w:rPr>
          <w:b/>
          <w:color w:val="000000"/>
        </w:rPr>
        <w:t>(Entry into force</w:t>
      </w:r>
      <w:r w:rsidR="00536699" w:rsidRPr="00DB0B79">
        <w:rPr>
          <w:b/>
          <w:color w:val="000000"/>
        </w:rPr>
        <w:t>)</w:t>
      </w:r>
    </w:p>
    <w:p w14:paraId="668F4887" w14:textId="77777777" w:rsidR="008E4B95" w:rsidRDefault="005E05A0" w:rsidP="00880241">
      <w:pPr>
        <w:spacing w:before="120" w:after="0" w:line="240" w:lineRule="auto"/>
        <w:ind w:firstLine="0"/>
        <w:rPr>
          <w:color w:val="000000"/>
        </w:rPr>
      </w:pPr>
      <w:r w:rsidRPr="005E05A0">
        <w:rPr>
          <w:color w:val="000000"/>
        </w:rPr>
        <w:t>This Rule shall enter into force on the eighth day following its publication in the 'Official Gazette of BiH</w:t>
      </w:r>
      <w:r w:rsidR="0004777F">
        <w:rPr>
          <w:color w:val="000000"/>
        </w:rPr>
        <w:t>.'</w:t>
      </w:r>
    </w:p>
    <w:p w14:paraId="21DE5B74" w14:textId="77777777" w:rsidR="005E05A0" w:rsidRDefault="005E05A0" w:rsidP="00880241">
      <w:pPr>
        <w:spacing w:before="120" w:after="0" w:line="240" w:lineRule="auto"/>
        <w:ind w:firstLine="0"/>
        <w:rPr>
          <w:color w:val="000000"/>
        </w:rPr>
      </w:pPr>
    </w:p>
    <w:p w14:paraId="6A674702" w14:textId="77777777" w:rsidR="00B21DAE" w:rsidRPr="00DB0B79" w:rsidRDefault="00CD436B" w:rsidP="00B21DAE">
      <w:pPr>
        <w:spacing w:after="0" w:line="240" w:lineRule="auto"/>
        <w:ind w:firstLine="0"/>
        <w:rPr>
          <w:color w:val="000000"/>
          <w:szCs w:val="24"/>
        </w:rPr>
      </w:pPr>
      <w:r>
        <w:rPr>
          <w:color w:val="000000"/>
        </w:rPr>
        <w:t>Number</w:t>
      </w:r>
      <w:r w:rsidRPr="00DB0B79">
        <w:rPr>
          <w:color w:val="000000"/>
        </w:rPr>
        <w:t>:</w:t>
      </w:r>
      <w:r>
        <w:rPr>
          <w:color w:val="000000"/>
        </w:rPr>
        <w:t xml:space="preserve"> </w:t>
      </w:r>
      <w:r>
        <w:t>05-02-2-1437-1/18</w:t>
      </w:r>
      <w:r w:rsidR="00B21DAE">
        <w:rPr>
          <w:color w:val="000000"/>
          <w:szCs w:val="24"/>
        </w:rPr>
        <w:tab/>
      </w:r>
      <w:r w:rsidR="00B21DAE">
        <w:rPr>
          <w:color w:val="000000"/>
          <w:szCs w:val="24"/>
        </w:rPr>
        <w:tab/>
      </w:r>
      <w:r w:rsidR="00B21DAE">
        <w:rPr>
          <w:color w:val="000000"/>
          <w:szCs w:val="24"/>
        </w:rPr>
        <w:tab/>
      </w:r>
      <w:r w:rsidR="00B21DAE">
        <w:rPr>
          <w:color w:val="000000"/>
          <w:szCs w:val="24"/>
        </w:rPr>
        <w:tab/>
      </w:r>
      <w:r w:rsidR="00B21DAE">
        <w:rPr>
          <w:color w:val="000000"/>
          <w:szCs w:val="24"/>
        </w:rPr>
        <w:tab/>
      </w:r>
      <w:r w:rsidR="00B21DAE">
        <w:rPr>
          <w:color w:val="000000"/>
          <w:szCs w:val="24"/>
        </w:rPr>
        <w:tab/>
      </w:r>
      <w:r w:rsidR="00B21DAE">
        <w:rPr>
          <w:color w:val="000000"/>
          <w:szCs w:val="24"/>
        </w:rPr>
        <w:tab/>
      </w:r>
      <w:r w:rsidR="00B21DAE">
        <w:rPr>
          <w:color w:val="000000"/>
          <w:szCs w:val="24"/>
        </w:rPr>
        <w:tab/>
        <w:t>Chairman of Council of the Agency</w:t>
      </w:r>
    </w:p>
    <w:p w14:paraId="171BF7B6" w14:textId="77777777" w:rsidR="00CD436B" w:rsidRDefault="00CD436B" w:rsidP="00B21DAE">
      <w:pPr>
        <w:spacing w:after="0" w:line="240" w:lineRule="auto"/>
        <w:ind w:firstLine="0"/>
        <w:rPr>
          <w:color w:val="000000"/>
        </w:rPr>
      </w:pPr>
      <w:r w:rsidRPr="00DB0B79">
        <w:rPr>
          <w:color w:val="000000"/>
        </w:rPr>
        <w:t>Sarajevo,</w:t>
      </w:r>
      <w:r>
        <w:rPr>
          <w:color w:val="000000"/>
        </w:rPr>
        <w:t xml:space="preserve"> May 17, 2018</w:t>
      </w:r>
    </w:p>
    <w:p w14:paraId="26FACEBF" w14:textId="77777777" w:rsidR="00B21DAE" w:rsidRDefault="00CD436B" w:rsidP="00B21DAE">
      <w:pPr>
        <w:spacing w:after="0"/>
        <w:ind w:firstLine="0"/>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14:paraId="7EDA2FC1" w14:textId="77777777" w:rsidR="00CD436B" w:rsidRPr="00DB0B79" w:rsidRDefault="00CD436B" w:rsidP="00B21DAE">
      <w:pPr>
        <w:spacing w:after="0"/>
        <w:ind w:left="6120" w:firstLine="0"/>
        <w:rPr>
          <w:color w:val="000000"/>
          <w:szCs w:val="24"/>
        </w:rPr>
      </w:pPr>
      <w:r w:rsidRPr="00DB0B79">
        <w:rPr>
          <w:color w:val="000000"/>
          <w:szCs w:val="24"/>
        </w:rPr>
        <w:t>Plamenko Čustović</w:t>
      </w:r>
    </w:p>
    <w:sectPr w:rsidR="00CD436B" w:rsidRPr="00DB0B79" w:rsidSect="001158A2">
      <w:headerReference w:type="default" r:id="rId10"/>
      <w:footerReference w:type="even" r:id="rId11"/>
      <w:footerReference w:type="default" r:id="rId12"/>
      <w:headerReference w:type="first" r:id="rId13"/>
      <w:footerReference w:type="first" r:id="rId14"/>
      <w:footnotePr>
        <w:numRestart w:val="eachPage"/>
      </w:footnotePr>
      <w:pgSz w:w="11909" w:h="16834" w:code="9"/>
      <w:pgMar w:top="1440" w:right="1440" w:bottom="1440" w:left="1440" w:header="720" w:footer="495"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81ADA" w14:textId="77777777" w:rsidR="00E9676F" w:rsidRDefault="00E9676F">
      <w:r>
        <w:separator/>
      </w:r>
    </w:p>
  </w:endnote>
  <w:endnote w:type="continuationSeparator" w:id="0">
    <w:p w14:paraId="245DB43A" w14:textId="77777777" w:rsidR="00E9676F" w:rsidRDefault="00E967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B381D" w14:textId="77777777" w:rsidR="004F6779" w:rsidRDefault="001158A2">
    <w:r>
      <w:rPr>
        <w:noProof w:val="0"/>
      </w:rPr>
      <w:fldChar w:fldCharType="begin"/>
    </w:r>
    <w:r>
      <w:instrText xml:space="preserve"> PAGE   \* MERGEFORMAT </w:instrText>
    </w:r>
    <w:r>
      <w:rPr>
        <w:noProof w:val="0"/>
      </w:rPr>
      <w:fldChar w:fldCharType="separate"/>
    </w:r>
    <w:r w:rsidR="006044B0">
      <w:t>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CA895" w14:textId="77777777" w:rsidR="004F6779" w:rsidRDefault="001158A2" w:rsidP="001158A2">
    <w:pPr>
      <w:pStyle w:val="Footer"/>
      <w:jc w:val="right"/>
    </w:pPr>
    <w:r>
      <w:rPr>
        <w:noProof w:val="0"/>
      </w:rPr>
      <w:fldChar w:fldCharType="begin"/>
    </w:r>
    <w:r>
      <w:instrText xml:space="preserve"> PAGE   \* MERGEFORMAT </w:instrText>
    </w:r>
    <w:r>
      <w:rPr>
        <w:noProof w:val="0"/>
      </w:rPr>
      <w:fldChar w:fldCharType="separate"/>
    </w:r>
    <w:r w:rsidR="006044B0">
      <w:t>7</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D0C225" w14:textId="77777777" w:rsidR="004F6779" w:rsidRPr="00F54E2E" w:rsidRDefault="004F6779" w:rsidP="00F54E2E">
    <w:pPr>
      <w:spacing w:after="20" w:line="240" w:lineRule="auto"/>
      <w:ind w:firstLine="0"/>
      <w:jc w:val="center"/>
      <w:rPr>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A8086" w14:textId="77777777" w:rsidR="00E9676F" w:rsidRDefault="00E9676F">
      <w:r>
        <w:separator/>
      </w:r>
    </w:p>
  </w:footnote>
  <w:footnote w:type="continuationSeparator" w:id="0">
    <w:p w14:paraId="4821EE07" w14:textId="77777777" w:rsidR="00E9676F" w:rsidRDefault="00E967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C8AD8" w14:textId="77777777" w:rsidR="004F6779" w:rsidRPr="00123373" w:rsidRDefault="004F6779">
    <w:pPr>
      <w:pStyle w:val="Header"/>
      <w:rPr>
        <w:lang w:val="bs-Latn-BA"/>
      </w:rPr>
    </w:pPr>
    <w:r>
      <w:rPr>
        <w:lang w:val="bs-Latn-BA"/>
      </w:rPr>
      <w:tab/>
    </w:r>
    <w:r>
      <w:rPr>
        <w:lang w:val="bs-Latn-B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7C16D" w14:textId="77777777" w:rsidR="004F6779" w:rsidRDefault="00686E30" w:rsidP="00E0302D">
    <w:pPr>
      <w:pStyle w:val="Header"/>
      <w:spacing w:after="0" w:line="240" w:lineRule="auto"/>
      <w:ind w:firstLine="0"/>
      <w:jc w:val="center"/>
    </w:pPr>
    <w:r>
      <w:rPr>
        <w:lang w:val="en-US"/>
      </w:rPr>
      <w:drawing>
        <wp:inline distT="0" distB="0" distL="0" distR="0" wp14:anchorId="1B9AC7E8" wp14:editId="1BF3D186">
          <wp:extent cx="5715000" cy="838200"/>
          <wp:effectExtent l="0" t="0" r="0" b="0"/>
          <wp:docPr id="2" name="Picture 2" descr="RAK Logo 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K Logo 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838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62EAF"/>
    <w:multiLevelType w:val="hybridMultilevel"/>
    <w:tmpl w:val="5F48B4D0"/>
    <w:lvl w:ilvl="0" w:tplc="0BA2C7EA">
      <w:start w:val="1"/>
      <w:numFmt w:val="lowerLetter"/>
      <w:lvlText w:val="%1)"/>
      <w:lvlJc w:val="left"/>
      <w:pPr>
        <w:ind w:left="808" w:hanging="360"/>
      </w:pPr>
      <w:rPr>
        <w:rFonts w:hint="default"/>
      </w:rPr>
    </w:lvl>
    <w:lvl w:ilvl="1" w:tplc="02CEE20C">
      <w:start w:val="1"/>
      <w:numFmt w:val="decimal"/>
      <w:lvlText w:val="(%2)"/>
      <w:lvlJc w:val="left"/>
      <w:pPr>
        <w:ind w:left="1528" w:hanging="360"/>
      </w:pPr>
      <w:rPr>
        <w:rFonts w:hint="default"/>
      </w:rPr>
    </w:lvl>
    <w:lvl w:ilvl="2" w:tplc="0409001B" w:tentative="1">
      <w:start w:val="1"/>
      <w:numFmt w:val="lowerRoman"/>
      <w:lvlText w:val="%3."/>
      <w:lvlJc w:val="right"/>
      <w:pPr>
        <w:ind w:left="2248" w:hanging="180"/>
      </w:pPr>
    </w:lvl>
    <w:lvl w:ilvl="3" w:tplc="0409000F" w:tentative="1">
      <w:start w:val="1"/>
      <w:numFmt w:val="decimal"/>
      <w:lvlText w:val="%4."/>
      <w:lvlJc w:val="left"/>
      <w:pPr>
        <w:ind w:left="2968" w:hanging="360"/>
      </w:pPr>
    </w:lvl>
    <w:lvl w:ilvl="4" w:tplc="04090019" w:tentative="1">
      <w:start w:val="1"/>
      <w:numFmt w:val="lowerLetter"/>
      <w:lvlText w:val="%5."/>
      <w:lvlJc w:val="left"/>
      <w:pPr>
        <w:ind w:left="3688" w:hanging="360"/>
      </w:pPr>
    </w:lvl>
    <w:lvl w:ilvl="5" w:tplc="0409001B" w:tentative="1">
      <w:start w:val="1"/>
      <w:numFmt w:val="lowerRoman"/>
      <w:lvlText w:val="%6."/>
      <w:lvlJc w:val="right"/>
      <w:pPr>
        <w:ind w:left="4408" w:hanging="180"/>
      </w:pPr>
    </w:lvl>
    <w:lvl w:ilvl="6" w:tplc="0409000F" w:tentative="1">
      <w:start w:val="1"/>
      <w:numFmt w:val="decimal"/>
      <w:lvlText w:val="%7."/>
      <w:lvlJc w:val="left"/>
      <w:pPr>
        <w:ind w:left="5128" w:hanging="360"/>
      </w:pPr>
    </w:lvl>
    <w:lvl w:ilvl="7" w:tplc="04090019" w:tentative="1">
      <w:start w:val="1"/>
      <w:numFmt w:val="lowerLetter"/>
      <w:lvlText w:val="%8."/>
      <w:lvlJc w:val="left"/>
      <w:pPr>
        <w:ind w:left="5848" w:hanging="360"/>
      </w:pPr>
    </w:lvl>
    <w:lvl w:ilvl="8" w:tplc="0409001B" w:tentative="1">
      <w:start w:val="1"/>
      <w:numFmt w:val="lowerRoman"/>
      <w:lvlText w:val="%9."/>
      <w:lvlJc w:val="right"/>
      <w:pPr>
        <w:ind w:left="6568" w:hanging="180"/>
      </w:pPr>
    </w:lvl>
  </w:abstractNum>
  <w:abstractNum w:abstractNumId="1" w15:restartNumberingAfterBreak="0">
    <w:nsid w:val="07602008"/>
    <w:multiLevelType w:val="hybridMultilevel"/>
    <w:tmpl w:val="1B12D9CE"/>
    <w:lvl w:ilvl="0" w:tplc="918AF7E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8D498E"/>
    <w:multiLevelType w:val="hybridMultilevel"/>
    <w:tmpl w:val="451A448E"/>
    <w:lvl w:ilvl="0" w:tplc="918AF7EC">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636F8D"/>
    <w:multiLevelType w:val="hybridMultilevel"/>
    <w:tmpl w:val="AD007260"/>
    <w:lvl w:ilvl="0" w:tplc="918AF7EC">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9D1192"/>
    <w:multiLevelType w:val="hybridMultilevel"/>
    <w:tmpl w:val="777C6590"/>
    <w:lvl w:ilvl="0" w:tplc="918AF7E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C11788"/>
    <w:multiLevelType w:val="hybridMultilevel"/>
    <w:tmpl w:val="FE827302"/>
    <w:lvl w:ilvl="0" w:tplc="1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500AC2"/>
    <w:multiLevelType w:val="hybridMultilevel"/>
    <w:tmpl w:val="CCBA9ACE"/>
    <w:lvl w:ilvl="0" w:tplc="918AF7EC">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0A87A02"/>
    <w:multiLevelType w:val="hybridMultilevel"/>
    <w:tmpl w:val="3962F2D4"/>
    <w:lvl w:ilvl="0" w:tplc="6E3A243C">
      <w:start w:val="1"/>
      <w:numFmt w:val="bullet"/>
      <w:pStyle w:val="ECCParBulleted"/>
      <w:lvlText w:val=""/>
      <w:lvlJc w:val="left"/>
      <w:pPr>
        <w:tabs>
          <w:tab w:val="num" w:pos="907"/>
        </w:tabs>
        <w:ind w:left="907" w:hanging="340"/>
      </w:pPr>
      <w:rPr>
        <w:rFonts w:ascii="Wingdings" w:hAnsi="Wingdings" w:hint="default"/>
        <w:color w:val="D2232A"/>
      </w:rPr>
    </w:lvl>
    <w:lvl w:ilvl="1" w:tplc="04090003">
      <w:start w:val="1"/>
      <w:numFmt w:val="bullet"/>
      <w:lvlText w:val="o"/>
      <w:lvlJc w:val="left"/>
      <w:pPr>
        <w:tabs>
          <w:tab w:val="num" w:pos="986"/>
        </w:tabs>
        <w:ind w:left="986" w:hanging="360"/>
      </w:pPr>
      <w:rPr>
        <w:rFonts w:ascii="Courier New" w:hAnsi="Courier New" w:cs="Arial Bold" w:hint="default"/>
      </w:rPr>
    </w:lvl>
    <w:lvl w:ilvl="2" w:tplc="04090005">
      <w:start w:val="1"/>
      <w:numFmt w:val="bullet"/>
      <w:lvlText w:val=""/>
      <w:lvlJc w:val="left"/>
      <w:pPr>
        <w:tabs>
          <w:tab w:val="num" w:pos="1706"/>
        </w:tabs>
        <w:ind w:left="1706" w:hanging="360"/>
      </w:pPr>
      <w:rPr>
        <w:rFonts w:ascii="Wingdings" w:hAnsi="Wingdings" w:hint="default"/>
      </w:rPr>
    </w:lvl>
    <w:lvl w:ilvl="3" w:tplc="04090001">
      <w:start w:val="1"/>
      <w:numFmt w:val="bullet"/>
      <w:lvlText w:val=""/>
      <w:lvlJc w:val="left"/>
      <w:pPr>
        <w:tabs>
          <w:tab w:val="num" w:pos="2426"/>
        </w:tabs>
        <w:ind w:left="2426" w:hanging="360"/>
      </w:pPr>
      <w:rPr>
        <w:rFonts w:ascii="Symbol" w:hAnsi="Symbol" w:hint="default"/>
      </w:rPr>
    </w:lvl>
    <w:lvl w:ilvl="4" w:tplc="04090003">
      <w:start w:val="1"/>
      <w:numFmt w:val="bullet"/>
      <w:lvlText w:val="o"/>
      <w:lvlJc w:val="left"/>
      <w:pPr>
        <w:tabs>
          <w:tab w:val="num" w:pos="3146"/>
        </w:tabs>
        <w:ind w:left="3146" w:hanging="360"/>
      </w:pPr>
      <w:rPr>
        <w:rFonts w:ascii="Courier New" w:hAnsi="Courier New" w:cs="Arial Bold" w:hint="default"/>
      </w:rPr>
    </w:lvl>
    <w:lvl w:ilvl="5" w:tplc="04090005">
      <w:start w:val="1"/>
      <w:numFmt w:val="bullet"/>
      <w:lvlText w:val=""/>
      <w:lvlJc w:val="left"/>
      <w:pPr>
        <w:tabs>
          <w:tab w:val="num" w:pos="3866"/>
        </w:tabs>
        <w:ind w:left="3866" w:hanging="360"/>
      </w:pPr>
      <w:rPr>
        <w:rFonts w:ascii="Wingdings" w:hAnsi="Wingdings" w:hint="default"/>
      </w:rPr>
    </w:lvl>
    <w:lvl w:ilvl="6" w:tplc="04090001">
      <w:start w:val="1"/>
      <w:numFmt w:val="bullet"/>
      <w:lvlText w:val=""/>
      <w:lvlJc w:val="left"/>
      <w:pPr>
        <w:tabs>
          <w:tab w:val="num" w:pos="4586"/>
        </w:tabs>
        <w:ind w:left="4586" w:hanging="360"/>
      </w:pPr>
      <w:rPr>
        <w:rFonts w:ascii="Symbol" w:hAnsi="Symbol" w:hint="default"/>
      </w:rPr>
    </w:lvl>
    <w:lvl w:ilvl="7" w:tplc="04090003">
      <w:start w:val="1"/>
      <w:numFmt w:val="bullet"/>
      <w:lvlText w:val="o"/>
      <w:lvlJc w:val="left"/>
      <w:pPr>
        <w:tabs>
          <w:tab w:val="num" w:pos="5306"/>
        </w:tabs>
        <w:ind w:left="5306" w:hanging="360"/>
      </w:pPr>
      <w:rPr>
        <w:rFonts w:ascii="Courier New" w:hAnsi="Courier New" w:cs="Arial Bold" w:hint="default"/>
      </w:rPr>
    </w:lvl>
    <w:lvl w:ilvl="8" w:tplc="04090005" w:tentative="1">
      <w:start w:val="1"/>
      <w:numFmt w:val="bullet"/>
      <w:lvlText w:val=""/>
      <w:lvlJc w:val="left"/>
      <w:pPr>
        <w:tabs>
          <w:tab w:val="num" w:pos="6026"/>
        </w:tabs>
        <w:ind w:left="6026" w:hanging="360"/>
      </w:pPr>
      <w:rPr>
        <w:rFonts w:ascii="Wingdings" w:hAnsi="Wingdings" w:hint="default"/>
      </w:rPr>
    </w:lvl>
  </w:abstractNum>
  <w:abstractNum w:abstractNumId="8" w15:restartNumberingAfterBreak="0">
    <w:nsid w:val="212541D9"/>
    <w:multiLevelType w:val="hybridMultilevel"/>
    <w:tmpl w:val="D2DA8374"/>
    <w:lvl w:ilvl="0" w:tplc="918AF7E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8A73807"/>
    <w:multiLevelType w:val="hybridMultilevel"/>
    <w:tmpl w:val="68A641B8"/>
    <w:lvl w:ilvl="0" w:tplc="1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EB4DA3"/>
    <w:multiLevelType w:val="hybridMultilevel"/>
    <w:tmpl w:val="DA6E37A6"/>
    <w:lvl w:ilvl="0" w:tplc="5016F43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C7653D0"/>
    <w:multiLevelType w:val="hybridMultilevel"/>
    <w:tmpl w:val="5E7C3214"/>
    <w:lvl w:ilvl="0" w:tplc="5500786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2" w15:restartNumberingAfterBreak="0">
    <w:nsid w:val="2DED0FF0"/>
    <w:multiLevelType w:val="hybridMultilevel"/>
    <w:tmpl w:val="539AB692"/>
    <w:lvl w:ilvl="0" w:tplc="918AF7EC">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2C4AB5"/>
    <w:multiLevelType w:val="hybridMultilevel"/>
    <w:tmpl w:val="A232FBEA"/>
    <w:lvl w:ilvl="0" w:tplc="141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372058"/>
    <w:multiLevelType w:val="hybridMultilevel"/>
    <w:tmpl w:val="F65A9D70"/>
    <w:lvl w:ilvl="0" w:tplc="FEFA6A06">
      <w:start w:val="1"/>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729D4"/>
    <w:multiLevelType w:val="hybridMultilevel"/>
    <w:tmpl w:val="DD6AD906"/>
    <w:lvl w:ilvl="0" w:tplc="918AF7EC">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850B7F"/>
    <w:multiLevelType w:val="hybridMultilevel"/>
    <w:tmpl w:val="56F433C8"/>
    <w:lvl w:ilvl="0" w:tplc="DB222F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0C1AC9"/>
    <w:multiLevelType w:val="hybridMultilevel"/>
    <w:tmpl w:val="A03ED336"/>
    <w:lvl w:ilvl="0" w:tplc="918AF7EC">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AB54A5F"/>
    <w:multiLevelType w:val="hybridMultilevel"/>
    <w:tmpl w:val="A6161B5C"/>
    <w:lvl w:ilvl="0" w:tplc="918AF7EC">
      <w:start w:val="1"/>
      <w:numFmt w:val="decimal"/>
      <w:lvlText w:val="(%1)"/>
      <w:lvlJc w:val="left"/>
      <w:pPr>
        <w:ind w:left="360" w:hanging="360"/>
      </w:pPr>
      <w:rPr>
        <w:rFonts w:hint="default"/>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981A5F"/>
    <w:multiLevelType w:val="hybridMultilevel"/>
    <w:tmpl w:val="6B8A0030"/>
    <w:lvl w:ilvl="0" w:tplc="141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985342"/>
    <w:multiLevelType w:val="hybridMultilevel"/>
    <w:tmpl w:val="C24C944C"/>
    <w:lvl w:ilvl="0" w:tplc="918AF7EC">
      <w:start w:val="1"/>
      <w:numFmt w:val="decimal"/>
      <w:lvlText w:val="(%1)"/>
      <w:lvlJc w:val="left"/>
      <w:pPr>
        <w:ind w:left="720" w:hanging="360"/>
      </w:pPr>
      <w:rPr>
        <w:rFonts w:hint="default"/>
        <w:b w:val="0"/>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15:restartNumberingAfterBreak="0">
    <w:nsid w:val="530C47AD"/>
    <w:multiLevelType w:val="hybridMultilevel"/>
    <w:tmpl w:val="16BA4994"/>
    <w:lvl w:ilvl="0" w:tplc="141A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121504"/>
    <w:multiLevelType w:val="hybridMultilevel"/>
    <w:tmpl w:val="DF76533A"/>
    <w:lvl w:ilvl="0" w:tplc="918AF7E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4D95757"/>
    <w:multiLevelType w:val="hybridMultilevel"/>
    <w:tmpl w:val="C7522BDE"/>
    <w:lvl w:ilvl="0" w:tplc="918AF7E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53528E3"/>
    <w:multiLevelType w:val="hybridMultilevel"/>
    <w:tmpl w:val="832831F2"/>
    <w:lvl w:ilvl="0" w:tplc="918AF7EC">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9165ABC"/>
    <w:multiLevelType w:val="hybridMultilevel"/>
    <w:tmpl w:val="BF5C9F7A"/>
    <w:lvl w:ilvl="0" w:tplc="918AF7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4B671E"/>
    <w:multiLevelType w:val="hybridMultilevel"/>
    <w:tmpl w:val="7B3879D8"/>
    <w:lvl w:ilvl="0" w:tplc="918AF7EC">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D77FF8"/>
    <w:multiLevelType w:val="hybridMultilevel"/>
    <w:tmpl w:val="4E94E7F0"/>
    <w:lvl w:ilvl="0" w:tplc="918AF7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EF46F8A"/>
    <w:multiLevelType w:val="hybridMultilevel"/>
    <w:tmpl w:val="2B48AE86"/>
    <w:lvl w:ilvl="0" w:tplc="918AF7EC">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424998"/>
    <w:multiLevelType w:val="hybridMultilevel"/>
    <w:tmpl w:val="297A8186"/>
    <w:lvl w:ilvl="0" w:tplc="1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C44B48"/>
    <w:multiLevelType w:val="hybridMultilevel"/>
    <w:tmpl w:val="9DA43A36"/>
    <w:lvl w:ilvl="0" w:tplc="918AF7EC">
      <w:start w:val="1"/>
      <w:numFmt w:val="decimal"/>
      <w:lvlText w:val="(%1)"/>
      <w:lvlJc w:val="left"/>
      <w:pPr>
        <w:ind w:left="360" w:hanging="360"/>
      </w:pPr>
      <w:rPr>
        <w:rFonts w:hint="default"/>
        <w:b w:val="0"/>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6CA2A47"/>
    <w:multiLevelType w:val="hybridMultilevel"/>
    <w:tmpl w:val="DF4AC12C"/>
    <w:lvl w:ilvl="0" w:tplc="662ABF3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6E47A6"/>
    <w:multiLevelType w:val="hybridMultilevel"/>
    <w:tmpl w:val="FABC8B4C"/>
    <w:lvl w:ilvl="0" w:tplc="918AF7EC">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C331D2"/>
    <w:multiLevelType w:val="hybridMultilevel"/>
    <w:tmpl w:val="67187FF6"/>
    <w:lvl w:ilvl="0" w:tplc="DF3EF472">
      <w:start w:val="1"/>
      <w:numFmt w:val="lowerLetter"/>
      <w:lvlText w:val="%1)"/>
      <w:lvlJc w:val="left"/>
      <w:pPr>
        <w:tabs>
          <w:tab w:val="num" w:pos="680"/>
        </w:tabs>
        <w:ind w:left="680" w:hanging="660"/>
      </w:pPr>
      <w:rPr>
        <w:rFonts w:hint="default"/>
        <w:b w:val="0"/>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34" w15:restartNumberingAfterBreak="0">
    <w:nsid w:val="76380E47"/>
    <w:multiLevelType w:val="hybridMultilevel"/>
    <w:tmpl w:val="CEA4F9EC"/>
    <w:lvl w:ilvl="0" w:tplc="918AF7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40873"/>
    <w:multiLevelType w:val="hybridMultilevel"/>
    <w:tmpl w:val="767E39B8"/>
    <w:lvl w:ilvl="0" w:tplc="DF3EF472">
      <w:start w:val="1"/>
      <w:numFmt w:val="lowerLetter"/>
      <w:lvlText w:val="%1)"/>
      <w:lvlJc w:val="left"/>
      <w:pPr>
        <w:tabs>
          <w:tab w:val="num" w:pos="944"/>
        </w:tabs>
        <w:ind w:left="944" w:hanging="660"/>
      </w:pPr>
      <w:rPr>
        <w:rFonts w:hint="default"/>
        <w:b w:val="0"/>
      </w:rPr>
    </w:lvl>
    <w:lvl w:ilvl="1" w:tplc="4176A872">
      <w:start w:val="1"/>
      <w:numFmt w:val="decimal"/>
      <w:lvlText w:val="%2)"/>
      <w:lvlJc w:val="left"/>
      <w:pPr>
        <w:ind w:left="1484" w:hanging="480"/>
      </w:pPr>
      <w:rPr>
        <w:rFonts w:hint="default"/>
      </w:rPr>
    </w:lvl>
    <w:lvl w:ilvl="2" w:tplc="B5865DCE">
      <w:start w:val="1"/>
      <w:numFmt w:val="decimal"/>
      <w:lvlText w:val="(%3)"/>
      <w:lvlJc w:val="left"/>
      <w:pPr>
        <w:ind w:left="2264" w:hanging="360"/>
      </w:pPr>
      <w:rPr>
        <w:rFonts w:hint="default"/>
      </w:r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36" w15:restartNumberingAfterBreak="0">
    <w:nsid w:val="79CB2D9B"/>
    <w:multiLevelType w:val="hybridMultilevel"/>
    <w:tmpl w:val="84DC4BBE"/>
    <w:lvl w:ilvl="0" w:tplc="918AF7E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2"/>
  </w:num>
  <w:num w:numId="3">
    <w:abstractNumId w:val="22"/>
  </w:num>
  <w:num w:numId="4">
    <w:abstractNumId w:val="23"/>
  </w:num>
  <w:num w:numId="5">
    <w:abstractNumId w:val="35"/>
  </w:num>
  <w:num w:numId="6">
    <w:abstractNumId w:val="33"/>
  </w:num>
  <w:num w:numId="7">
    <w:abstractNumId w:val="10"/>
  </w:num>
  <w:num w:numId="8">
    <w:abstractNumId w:val="28"/>
  </w:num>
  <w:num w:numId="9">
    <w:abstractNumId w:val="11"/>
  </w:num>
  <w:num w:numId="10">
    <w:abstractNumId w:val="36"/>
  </w:num>
  <w:num w:numId="11">
    <w:abstractNumId w:val="20"/>
  </w:num>
  <w:num w:numId="12">
    <w:abstractNumId w:val="27"/>
  </w:num>
  <w:num w:numId="13">
    <w:abstractNumId w:val="7"/>
  </w:num>
  <w:num w:numId="14">
    <w:abstractNumId w:val="0"/>
  </w:num>
  <w:num w:numId="15">
    <w:abstractNumId w:val="16"/>
  </w:num>
  <w:num w:numId="16">
    <w:abstractNumId w:val="6"/>
  </w:num>
  <w:num w:numId="17">
    <w:abstractNumId w:val="30"/>
  </w:num>
  <w:num w:numId="18">
    <w:abstractNumId w:val="17"/>
  </w:num>
  <w:num w:numId="19">
    <w:abstractNumId w:val="5"/>
  </w:num>
  <w:num w:numId="20">
    <w:abstractNumId w:val="21"/>
  </w:num>
  <w:num w:numId="21">
    <w:abstractNumId w:val="3"/>
  </w:num>
  <w:num w:numId="22">
    <w:abstractNumId w:val="26"/>
  </w:num>
  <w:num w:numId="23">
    <w:abstractNumId w:val="12"/>
  </w:num>
  <w:num w:numId="24">
    <w:abstractNumId w:val="2"/>
  </w:num>
  <w:num w:numId="25">
    <w:abstractNumId w:val="15"/>
  </w:num>
  <w:num w:numId="26">
    <w:abstractNumId w:val="24"/>
  </w:num>
  <w:num w:numId="27">
    <w:abstractNumId w:val="9"/>
  </w:num>
  <w:num w:numId="28">
    <w:abstractNumId w:val="19"/>
  </w:num>
  <w:num w:numId="29">
    <w:abstractNumId w:val="8"/>
  </w:num>
  <w:num w:numId="30">
    <w:abstractNumId w:val="14"/>
  </w:num>
  <w:num w:numId="31">
    <w:abstractNumId w:val="34"/>
  </w:num>
  <w:num w:numId="32">
    <w:abstractNumId w:val="4"/>
  </w:num>
  <w:num w:numId="33">
    <w:abstractNumId w:val="25"/>
  </w:num>
  <w:num w:numId="34">
    <w:abstractNumId w:val="31"/>
  </w:num>
  <w:num w:numId="35">
    <w:abstractNumId w:val="13"/>
  </w:num>
  <w:num w:numId="36">
    <w:abstractNumId w:val="29"/>
  </w:num>
  <w:num w:numId="37">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hyphenationZone w:val="425"/>
  <w:evenAndOddHeader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7A0NbAws7C0NDY2NbJQ0lEKTi0uzszPAykwrAUAAU71MCwAAAA="/>
  </w:docVars>
  <w:rsids>
    <w:rsidRoot w:val="00E0302D"/>
    <w:rsid w:val="00000827"/>
    <w:rsid w:val="000016D5"/>
    <w:rsid w:val="00001C59"/>
    <w:rsid w:val="00003BC1"/>
    <w:rsid w:val="00003C79"/>
    <w:rsid w:val="00004EF7"/>
    <w:rsid w:val="0001005A"/>
    <w:rsid w:val="000110F7"/>
    <w:rsid w:val="0001718A"/>
    <w:rsid w:val="0002059D"/>
    <w:rsid w:val="00022FEC"/>
    <w:rsid w:val="0002762C"/>
    <w:rsid w:val="00027A5E"/>
    <w:rsid w:val="00030663"/>
    <w:rsid w:val="00030FC7"/>
    <w:rsid w:val="00035390"/>
    <w:rsid w:val="0003595B"/>
    <w:rsid w:val="00035E5C"/>
    <w:rsid w:val="00036455"/>
    <w:rsid w:val="0004078E"/>
    <w:rsid w:val="00040FEA"/>
    <w:rsid w:val="00042A88"/>
    <w:rsid w:val="00042F15"/>
    <w:rsid w:val="00043A44"/>
    <w:rsid w:val="00043BB1"/>
    <w:rsid w:val="0004777F"/>
    <w:rsid w:val="000522C5"/>
    <w:rsid w:val="0005758D"/>
    <w:rsid w:val="000602A8"/>
    <w:rsid w:val="00070D51"/>
    <w:rsid w:val="00071C9E"/>
    <w:rsid w:val="00073983"/>
    <w:rsid w:val="00073F84"/>
    <w:rsid w:val="00075658"/>
    <w:rsid w:val="00081EF7"/>
    <w:rsid w:val="00085E1B"/>
    <w:rsid w:val="00090A6D"/>
    <w:rsid w:val="00090F9E"/>
    <w:rsid w:val="00091B8B"/>
    <w:rsid w:val="00095932"/>
    <w:rsid w:val="000969AC"/>
    <w:rsid w:val="00096CC0"/>
    <w:rsid w:val="000A623D"/>
    <w:rsid w:val="000A757A"/>
    <w:rsid w:val="000A7FE1"/>
    <w:rsid w:val="000B0628"/>
    <w:rsid w:val="000B3C8B"/>
    <w:rsid w:val="000B4E66"/>
    <w:rsid w:val="000C1279"/>
    <w:rsid w:val="000C20A5"/>
    <w:rsid w:val="000C315E"/>
    <w:rsid w:val="000C34E4"/>
    <w:rsid w:val="000D4A71"/>
    <w:rsid w:val="000E2E3D"/>
    <w:rsid w:val="000E4378"/>
    <w:rsid w:val="000E4ADF"/>
    <w:rsid w:val="000E5493"/>
    <w:rsid w:val="000E5830"/>
    <w:rsid w:val="000E6768"/>
    <w:rsid w:val="000E68F5"/>
    <w:rsid w:val="000E6EF5"/>
    <w:rsid w:val="000F03A7"/>
    <w:rsid w:val="000F0C9D"/>
    <w:rsid w:val="000F68A0"/>
    <w:rsid w:val="000F717E"/>
    <w:rsid w:val="00100253"/>
    <w:rsid w:val="00101CED"/>
    <w:rsid w:val="0010564C"/>
    <w:rsid w:val="00105667"/>
    <w:rsid w:val="00110A24"/>
    <w:rsid w:val="00111DF9"/>
    <w:rsid w:val="001158A2"/>
    <w:rsid w:val="00117C62"/>
    <w:rsid w:val="001215D5"/>
    <w:rsid w:val="00122D9F"/>
    <w:rsid w:val="00123373"/>
    <w:rsid w:val="00123A38"/>
    <w:rsid w:val="00127988"/>
    <w:rsid w:val="001307EF"/>
    <w:rsid w:val="00131193"/>
    <w:rsid w:val="001329E0"/>
    <w:rsid w:val="00133723"/>
    <w:rsid w:val="001374E8"/>
    <w:rsid w:val="00143E5C"/>
    <w:rsid w:val="00147F77"/>
    <w:rsid w:val="0015308D"/>
    <w:rsid w:val="00157801"/>
    <w:rsid w:val="00163504"/>
    <w:rsid w:val="00164811"/>
    <w:rsid w:val="0016763A"/>
    <w:rsid w:val="0017345C"/>
    <w:rsid w:val="00174B21"/>
    <w:rsid w:val="0017567E"/>
    <w:rsid w:val="00177282"/>
    <w:rsid w:val="00180AD8"/>
    <w:rsid w:val="00181550"/>
    <w:rsid w:val="00183572"/>
    <w:rsid w:val="00185B44"/>
    <w:rsid w:val="001945EF"/>
    <w:rsid w:val="001961DD"/>
    <w:rsid w:val="00197AC6"/>
    <w:rsid w:val="001A4F49"/>
    <w:rsid w:val="001A57EE"/>
    <w:rsid w:val="001A7366"/>
    <w:rsid w:val="001B0FFD"/>
    <w:rsid w:val="001B5F2F"/>
    <w:rsid w:val="001B6D19"/>
    <w:rsid w:val="001C1D5C"/>
    <w:rsid w:val="001C356E"/>
    <w:rsid w:val="001C59E3"/>
    <w:rsid w:val="001C6322"/>
    <w:rsid w:val="001C655C"/>
    <w:rsid w:val="001D3CC9"/>
    <w:rsid w:val="001E1DD6"/>
    <w:rsid w:val="001E4468"/>
    <w:rsid w:val="001F22FE"/>
    <w:rsid w:val="001F2DE0"/>
    <w:rsid w:val="001F329E"/>
    <w:rsid w:val="001F3EE2"/>
    <w:rsid w:val="001F4A8D"/>
    <w:rsid w:val="001F7FC5"/>
    <w:rsid w:val="00200DA1"/>
    <w:rsid w:val="00202632"/>
    <w:rsid w:val="00203CF1"/>
    <w:rsid w:val="002049E8"/>
    <w:rsid w:val="00204AEE"/>
    <w:rsid w:val="0020594E"/>
    <w:rsid w:val="00205E0A"/>
    <w:rsid w:val="00207008"/>
    <w:rsid w:val="00211DB7"/>
    <w:rsid w:val="00213B99"/>
    <w:rsid w:val="00213FF5"/>
    <w:rsid w:val="00216ABB"/>
    <w:rsid w:val="00223B0D"/>
    <w:rsid w:val="0023581C"/>
    <w:rsid w:val="00237863"/>
    <w:rsid w:val="00240756"/>
    <w:rsid w:val="00243CE5"/>
    <w:rsid w:val="002465DA"/>
    <w:rsid w:val="00250786"/>
    <w:rsid w:val="00256A6C"/>
    <w:rsid w:val="00266999"/>
    <w:rsid w:val="002732E3"/>
    <w:rsid w:val="00276136"/>
    <w:rsid w:val="00280DF1"/>
    <w:rsid w:val="0028369C"/>
    <w:rsid w:val="0028405B"/>
    <w:rsid w:val="002852BC"/>
    <w:rsid w:val="0028618E"/>
    <w:rsid w:val="0028778A"/>
    <w:rsid w:val="00290D27"/>
    <w:rsid w:val="00294390"/>
    <w:rsid w:val="00294AE0"/>
    <w:rsid w:val="00296DEB"/>
    <w:rsid w:val="002A13B4"/>
    <w:rsid w:val="002A14CB"/>
    <w:rsid w:val="002A2EDD"/>
    <w:rsid w:val="002A53E5"/>
    <w:rsid w:val="002A5E75"/>
    <w:rsid w:val="002B0843"/>
    <w:rsid w:val="002B21AF"/>
    <w:rsid w:val="002B412D"/>
    <w:rsid w:val="002B5F2D"/>
    <w:rsid w:val="002B5FE5"/>
    <w:rsid w:val="002B7F5F"/>
    <w:rsid w:val="002B7FB1"/>
    <w:rsid w:val="002C13B1"/>
    <w:rsid w:val="002C5E00"/>
    <w:rsid w:val="002C6679"/>
    <w:rsid w:val="002C6E51"/>
    <w:rsid w:val="002C7FD4"/>
    <w:rsid w:val="002D10D0"/>
    <w:rsid w:val="002D178B"/>
    <w:rsid w:val="002D2680"/>
    <w:rsid w:val="002D542F"/>
    <w:rsid w:val="002E04EE"/>
    <w:rsid w:val="002E09CB"/>
    <w:rsid w:val="002F1855"/>
    <w:rsid w:val="002F45FF"/>
    <w:rsid w:val="002F48AF"/>
    <w:rsid w:val="002F4C47"/>
    <w:rsid w:val="002F4C78"/>
    <w:rsid w:val="00302C1D"/>
    <w:rsid w:val="00306E7B"/>
    <w:rsid w:val="00307985"/>
    <w:rsid w:val="003105C2"/>
    <w:rsid w:val="00310BA4"/>
    <w:rsid w:val="00310DA6"/>
    <w:rsid w:val="00311715"/>
    <w:rsid w:val="00314498"/>
    <w:rsid w:val="00314BF9"/>
    <w:rsid w:val="00315086"/>
    <w:rsid w:val="003156F9"/>
    <w:rsid w:val="00320FE9"/>
    <w:rsid w:val="00322366"/>
    <w:rsid w:val="00325216"/>
    <w:rsid w:val="00326500"/>
    <w:rsid w:val="00333CB5"/>
    <w:rsid w:val="00334E79"/>
    <w:rsid w:val="00340B78"/>
    <w:rsid w:val="0034256C"/>
    <w:rsid w:val="0034567F"/>
    <w:rsid w:val="00351D86"/>
    <w:rsid w:val="00352C69"/>
    <w:rsid w:val="0035352B"/>
    <w:rsid w:val="00354C4E"/>
    <w:rsid w:val="00356429"/>
    <w:rsid w:val="00356B81"/>
    <w:rsid w:val="003603B9"/>
    <w:rsid w:val="0036148C"/>
    <w:rsid w:val="00361E78"/>
    <w:rsid w:val="0036237D"/>
    <w:rsid w:val="0036246B"/>
    <w:rsid w:val="0036377D"/>
    <w:rsid w:val="00363E69"/>
    <w:rsid w:val="00364353"/>
    <w:rsid w:val="00372F7B"/>
    <w:rsid w:val="00373504"/>
    <w:rsid w:val="00376690"/>
    <w:rsid w:val="00376A87"/>
    <w:rsid w:val="003778C4"/>
    <w:rsid w:val="00387A8E"/>
    <w:rsid w:val="00387C53"/>
    <w:rsid w:val="00387F37"/>
    <w:rsid w:val="00390D6C"/>
    <w:rsid w:val="00393046"/>
    <w:rsid w:val="00394BA7"/>
    <w:rsid w:val="003957BC"/>
    <w:rsid w:val="003A154F"/>
    <w:rsid w:val="003A23FA"/>
    <w:rsid w:val="003A4135"/>
    <w:rsid w:val="003B084A"/>
    <w:rsid w:val="003B13C9"/>
    <w:rsid w:val="003B1C0B"/>
    <w:rsid w:val="003B2478"/>
    <w:rsid w:val="003B28E8"/>
    <w:rsid w:val="003B3549"/>
    <w:rsid w:val="003B639A"/>
    <w:rsid w:val="003C0FD4"/>
    <w:rsid w:val="003C47A8"/>
    <w:rsid w:val="003D52F2"/>
    <w:rsid w:val="003D79E2"/>
    <w:rsid w:val="003E6DEA"/>
    <w:rsid w:val="003E7DD8"/>
    <w:rsid w:val="003F58F9"/>
    <w:rsid w:val="00400FF8"/>
    <w:rsid w:val="0040187F"/>
    <w:rsid w:val="004039A0"/>
    <w:rsid w:val="00403A69"/>
    <w:rsid w:val="0042114C"/>
    <w:rsid w:val="00422E91"/>
    <w:rsid w:val="00437FC0"/>
    <w:rsid w:val="00450A26"/>
    <w:rsid w:val="00453427"/>
    <w:rsid w:val="004574E5"/>
    <w:rsid w:val="00457A11"/>
    <w:rsid w:val="0046773E"/>
    <w:rsid w:val="00470C92"/>
    <w:rsid w:val="00471E5D"/>
    <w:rsid w:val="00472759"/>
    <w:rsid w:val="00474BAA"/>
    <w:rsid w:val="00474CEB"/>
    <w:rsid w:val="004810A4"/>
    <w:rsid w:val="00482E20"/>
    <w:rsid w:val="00485FBC"/>
    <w:rsid w:val="004872BC"/>
    <w:rsid w:val="00487984"/>
    <w:rsid w:val="00491512"/>
    <w:rsid w:val="00491979"/>
    <w:rsid w:val="00491DBC"/>
    <w:rsid w:val="00496721"/>
    <w:rsid w:val="004A15F1"/>
    <w:rsid w:val="004A3EE8"/>
    <w:rsid w:val="004B1233"/>
    <w:rsid w:val="004B147D"/>
    <w:rsid w:val="004B1E0B"/>
    <w:rsid w:val="004B25AC"/>
    <w:rsid w:val="004B540F"/>
    <w:rsid w:val="004B7B5D"/>
    <w:rsid w:val="004C3E03"/>
    <w:rsid w:val="004D156C"/>
    <w:rsid w:val="004D33F2"/>
    <w:rsid w:val="004D4FFB"/>
    <w:rsid w:val="004D6938"/>
    <w:rsid w:val="004D6CAD"/>
    <w:rsid w:val="004E0E67"/>
    <w:rsid w:val="004E1002"/>
    <w:rsid w:val="004E1267"/>
    <w:rsid w:val="004E1D57"/>
    <w:rsid w:val="004E215F"/>
    <w:rsid w:val="004E377E"/>
    <w:rsid w:val="004E626B"/>
    <w:rsid w:val="004F1CC1"/>
    <w:rsid w:val="004F1E46"/>
    <w:rsid w:val="004F3B01"/>
    <w:rsid w:val="004F49AA"/>
    <w:rsid w:val="004F58DA"/>
    <w:rsid w:val="004F6779"/>
    <w:rsid w:val="004F6A37"/>
    <w:rsid w:val="004F70DC"/>
    <w:rsid w:val="004F760B"/>
    <w:rsid w:val="00503FC9"/>
    <w:rsid w:val="00510BE7"/>
    <w:rsid w:val="00512A66"/>
    <w:rsid w:val="00513BAD"/>
    <w:rsid w:val="005172D3"/>
    <w:rsid w:val="00517B60"/>
    <w:rsid w:val="00524BAF"/>
    <w:rsid w:val="00533A2A"/>
    <w:rsid w:val="00536300"/>
    <w:rsid w:val="00536699"/>
    <w:rsid w:val="005368E6"/>
    <w:rsid w:val="00537E7D"/>
    <w:rsid w:val="0054311D"/>
    <w:rsid w:val="00543699"/>
    <w:rsid w:val="00543FAA"/>
    <w:rsid w:val="0054694E"/>
    <w:rsid w:val="00562999"/>
    <w:rsid w:val="005641D8"/>
    <w:rsid w:val="00565C6C"/>
    <w:rsid w:val="005669FE"/>
    <w:rsid w:val="00570537"/>
    <w:rsid w:val="005717DA"/>
    <w:rsid w:val="00572C8F"/>
    <w:rsid w:val="00574052"/>
    <w:rsid w:val="005741A2"/>
    <w:rsid w:val="00576949"/>
    <w:rsid w:val="00576A94"/>
    <w:rsid w:val="005825C2"/>
    <w:rsid w:val="0058739F"/>
    <w:rsid w:val="005928DC"/>
    <w:rsid w:val="00596075"/>
    <w:rsid w:val="005976E3"/>
    <w:rsid w:val="005A02AD"/>
    <w:rsid w:val="005A0814"/>
    <w:rsid w:val="005A09E7"/>
    <w:rsid w:val="005A38CF"/>
    <w:rsid w:val="005A5F56"/>
    <w:rsid w:val="005A6E33"/>
    <w:rsid w:val="005B1155"/>
    <w:rsid w:val="005B2CFC"/>
    <w:rsid w:val="005B2FE9"/>
    <w:rsid w:val="005B3620"/>
    <w:rsid w:val="005B59C0"/>
    <w:rsid w:val="005B629E"/>
    <w:rsid w:val="005B7645"/>
    <w:rsid w:val="005C0DEA"/>
    <w:rsid w:val="005C260D"/>
    <w:rsid w:val="005C341C"/>
    <w:rsid w:val="005C4A71"/>
    <w:rsid w:val="005C505B"/>
    <w:rsid w:val="005C6CED"/>
    <w:rsid w:val="005D2711"/>
    <w:rsid w:val="005D58C3"/>
    <w:rsid w:val="005E05A0"/>
    <w:rsid w:val="005E16E5"/>
    <w:rsid w:val="005E4E41"/>
    <w:rsid w:val="005E4FD7"/>
    <w:rsid w:val="005E5B8B"/>
    <w:rsid w:val="005F57A4"/>
    <w:rsid w:val="00600807"/>
    <w:rsid w:val="00600E4D"/>
    <w:rsid w:val="006014B9"/>
    <w:rsid w:val="00601D7A"/>
    <w:rsid w:val="00602121"/>
    <w:rsid w:val="00603CCB"/>
    <w:rsid w:val="006044B0"/>
    <w:rsid w:val="00611AC5"/>
    <w:rsid w:val="00611AD8"/>
    <w:rsid w:val="00613CFC"/>
    <w:rsid w:val="0061450F"/>
    <w:rsid w:val="0061566C"/>
    <w:rsid w:val="00616781"/>
    <w:rsid w:val="006215F3"/>
    <w:rsid w:val="00624375"/>
    <w:rsid w:val="00625C8C"/>
    <w:rsid w:val="00625F53"/>
    <w:rsid w:val="00630966"/>
    <w:rsid w:val="00630C4E"/>
    <w:rsid w:val="006332E7"/>
    <w:rsid w:val="0063505A"/>
    <w:rsid w:val="006369A7"/>
    <w:rsid w:val="006417C9"/>
    <w:rsid w:val="00641989"/>
    <w:rsid w:val="00647161"/>
    <w:rsid w:val="00647A1E"/>
    <w:rsid w:val="00651FF1"/>
    <w:rsid w:val="006531DA"/>
    <w:rsid w:val="00653483"/>
    <w:rsid w:val="006534B9"/>
    <w:rsid w:val="00671686"/>
    <w:rsid w:val="00673211"/>
    <w:rsid w:val="0068257B"/>
    <w:rsid w:val="00682697"/>
    <w:rsid w:val="00684B96"/>
    <w:rsid w:val="00686E30"/>
    <w:rsid w:val="00690375"/>
    <w:rsid w:val="0069192F"/>
    <w:rsid w:val="00696E84"/>
    <w:rsid w:val="006A4002"/>
    <w:rsid w:val="006A64A7"/>
    <w:rsid w:val="006B0491"/>
    <w:rsid w:val="006B23F2"/>
    <w:rsid w:val="006B36E7"/>
    <w:rsid w:val="006B471C"/>
    <w:rsid w:val="006C0211"/>
    <w:rsid w:val="006C1F87"/>
    <w:rsid w:val="006C27FA"/>
    <w:rsid w:val="006C3526"/>
    <w:rsid w:val="006C3AF6"/>
    <w:rsid w:val="006C452F"/>
    <w:rsid w:val="006C4E66"/>
    <w:rsid w:val="006E101F"/>
    <w:rsid w:val="006E1938"/>
    <w:rsid w:val="006E3E09"/>
    <w:rsid w:val="006E7269"/>
    <w:rsid w:val="006E7878"/>
    <w:rsid w:val="006F39C2"/>
    <w:rsid w:val="006F4A47"/>
    <w:rsid w:val="006F5DFA"/>
    <w:rsid w:val="006F60FA"/>
    <w:rsid w:val="006F61CB"/>
    <w:rsid w:val="00700EB9"/>
    <w:rsid w:val="0070420D"/>
    <w:rsid w:val="00704E9B"/>
    <w:rsid w:val="00707DF6"/>
    <w:rsid w:val="00710E7E"/>
    <w:rsid w:val="007173E1"/>
    <w:rsid w:val="00717A0F"/>
    <w:rsid w:val="00720730"/>
    <w:rsid w:val="00722406"/>
    <w:rsid w:val="007247FA"/>
    <w:rsid w:val="00724F62"/>
    <w:rsid w:val="007256E8"/>
    <w:rsid w:val="00725D67"/>
    <w:rsid w:val="007369F8"/>
    <w:rsid w:val="00736B71"/>
    <w:rsid w:val="00736F40"/>
    <w:rsid w:val="0073794B"/>
    <w:rsid w:val="00740A1B"/>
    <w:rsid w:val="00743087"/>
    <w:rsid w:val="00743F34"/>
    <w:rsid w:val="00744126"/>
    <w:rsid w:val="00744A8E"/>
    <w:rsid w:val="00751F15"/>
    <w:rsid w:val="007542C5"/>
    <w:rsid w:val="007549A7"/>
    <w:rsid w:val="00755644"/>
    <w:rsid w:val="0076144A"/>
    <w:rsid w:val="00763301"/>
    <w:rsid w:val="0076503D"/>
    <w:rsid w:val="007706C5"/>
    <w:rsid w:val="00775371"/>
    <w:rsid w:val="0078165C"/>
    <w:rsid w:val="00782185"/>
    <w:rsid w:val="00783157"/>
    <w:rsid w:val="00783DD2"/>
    <w:rsid w:val="0078662F"/>
    <w:rsid w:val="00787144"/>
    <w:rsid w:val="00790FEC"/>
    <w:rsid w:val="007944B5"/>
    <w:rsid w:val="00796B4B"/>
    <w:rsid w:val="007978D8"/>
    <w:rsid w:val="007A345D"/>
    <w:rsid w:val="007A6726"/>
    <w:rsid w:val="007A7359"/>
    <w:rsid w:val="007A752D"/>
    <w:rsid w:val="007A7571"/>
    <w:rsid w:val="007A7C58"/>
    <w:rsid w:val="007B3CB9"/>
    <w:rsid w:val="007C02F2"/>
    <w:rsid w:val="007C2B5F"/>
    <w:rsid w:val="007C387C"/>
    <w:rsid w:val="007C7336"/>
    <w:rsid w:val="007C75A8"/>
    <w:rsid w:val="007D4CCB"/>
    <w:rsid w:val="007D67B4"/>
    <w:rsid w:val="007D6A81"/>
    <w:rsid w:val="007E0CC8"/>
    <w:rsid w:val="007E119B"/>
    <w:rsid w:val="007E2339"/>
    <w:rsid w:val="007E4872"/>
    <w:rsid w:val="007E4C92"/>
    <w:rsid w:val="007E5FD3"/>
    <w:rsid w:val="00800D18"/>
    <w:rsid w:val="00802FAE"/>
    <w:rsid w:val="0080369F"/>
    <w:rsid w:val="008043BE"/>
    <w:rsid w:val="0080445C"/>
    <w:rsid w:val="0080711E"/>
    <w:rsid w:val="00807617"/>
    <w:rsid w:val="00815C7C"/>
    <w:rsid w:val="00820E14"/>
    <w:rsid w:val="00824A53"/>
    <w:rsid w:val="00830C35"/>
    <w:rsid w:val="00831173"/>
    <w:rsid w:val="008348C9"/>
    <w:rsid w:val="0083516F"/>
    <w:rsid w:val="00836C28"/>
    <w:rsid w:val="00842923"/>
    <w:rsid w:val="0084336D"/>
    <w:rsid w:val="00844A21"/>
    <w:rsid w:val="00851C32"/>
    <w:rsid w:val="008537E4"/>
    <w:rsid w:val="0085462C"/>
    <w:rsid w:val="00855F3F"/>
    <w:rsid w:val="0085688B"/>
    <w:rsid w:val="00857291"/>
    <w:rsid w:val="00857CCC"/>
    <w:rsid w:val="00864ED6"/>
    <w:rsid w:val="00865332"/>
    <w:rsid w:val="008666E2"/>
    <w:rsid w:val="00871DED"/>
    <w:rsid w:val="00877775"/>
    <w:rsid w:val="00880241"/>
    <w:rsid w:val="00880DD1"/>
    <w:rsid w:val="0088134F"/>
    <w:rsid w:val="00886354"/>
    <w:rsid w:val="008873C4"/>
    <w:rsid w:val="00887870"/>
    <w:rsid w:val="008913A5"/>
    <w:rsid w:val="008929E2"/>
    <w:rsid w:val="008B0C9F"/>
    <w:rsid w:val="008B410E"/>
    <w:rsid w:val="008B6D08"/>
    <w:rsid w:val="008B7C39"/>
    <w:rsid w:val="008B7D08"/>
    <w:rsid w:val="008C355D"/>
    <w:rsid w:val="008C4045"/>
    <w:rsid w:val="008C4F6B"/>
    <w:rsid w:val="008E020C"/>
    <w:rsid w:val="008E4806"/>
    <w:rsid w:val="008E4B95"/>
    <w:rsid w:val="008E4EF3"/>
    <w:rsid w:val="008E5D2A"/>
    <w:rsid w:val="008E6570"/>
    <w:rsid w:val="008F6724"/>
    <w:rsid w:val="009002E9"/>
    <w:rsid w:val="00902599"/>
    <w:rsid w:val="0090376C"/>
    <w:rsid w:val="00905279"/>
    <w:rsid w:val="00906ACE"/>
    <w:rsid w:val="00911166"/>
    <w:rsid w:val="009134E4"/>
    <w:rsid w:val="009138ED"/>
    <w:rsid w:val="00914D3E"/>
    <w:rsid w:val="00915D59"/>
    <w:rsid w:val="0092098D"/>
    <w:rsid w:val="00921736"/>
    <w:rsid w:val="00921886"/>
    <w:rsid w:val="009220E6"/>
    <w:rsid w:val="00931D6E"/>
    <w:rsid w:val="0093694F"/>
    <w:rsid w:val="00937375"/>
    <w:rsid w:val="009376FB"/>
    <w:rsid w:val="0094024F"/>
    <w:rsid w:val="00942E47"/>
    <w:rsid w:val="00943BCD"/>
    <w:rsid w:val="00943F12"/>
    <w:rsid w:val="00946AED"/>
    <w:rsid w:val="0094742B"/>
    <w:rsid w:val="00950EBC"/>
    <w:rsid w:val="00951D33"/>
    <w:rsid w:val="00956DBB"/>
    <w:rsid w:val="009674E0"/>
    <w:rsid w:val="00971FED"/>
    <w:rsid w:val="009734E7"/>
    <w:rsid w:val="00976D63"/>
    <w:rsid w:val="0098078D"/>
    <w:rsid w:val="009826D1"/>
    <w:rsid w:val="00983FDA"/>
    <w:rsid w:val="00985670"/>
    <w:rsid w:val="00991085"/>
    <w:rsid w:val="00991734"/>
    <w:rsid w:val="00992000"/>
    <w:rsid w:val="00992051"/>
    <w:rsid w:val="00994F34"/>
    <w:rsid w:val="009950ED"/>
    <w:rsid w:val="0099625D"/>
    <w:rsid w:val="009A1923"/>
    <w:rsid w:val="009A43FA"/>
    <w:rsid w:val="009A5C9E"/>
    <w:rsid w:val="009A6663"/>
    <w:rsid w:val="009A6B98"/>
    <w:rsid w:val="009A6CCB"/>
    <w:rsid w:val="009A6D40"/>
    <w:rsid w:val="009B0B16"/>
    <w:rsid w:val="009B15A0"/>
    <w:rsid w:val="009B5292"/>
    <w:rsid w:val="009B5BA5"/>
    <w:rsid w:val="009B6BE2"/>
    <w:rsid w:val="009B7A11"/>
    <w:rsid w:val="009C0EEF"/>
    <w:rsid w:val="009C1194"/>
    <w:rsid w:val="009C124A"/>
    <w:rsid w:val="009C502A"/>
    <w:rsid w:val="009D0ACE"/>
    <w:rsid w:val="009D4A91"/>
    <w:rsid w:val="009D4B95"/>
    <w:rsid w:val="009D633B"/>
    <w:rsid w:val="009D6B42"/>
    <w:rsid w:val="009D6D08"/>
    <w:rsid w:val="009E0728"/>
    <w:rsid w:val="009E457D"/>
    <w:rsid w:val="00A00905"/>
    <w:rsid w:val="00A00CBC"/>
    <w:rsid w:val="00A03AF0"/>
    <w:rsid w:val="00A0751F"/>
    <w:rsid w:val="00A11C3F"/>
    <w:rsid w:val="00A11F56"/>
    <w:rsid w:val="00A14739"/>
    <w:rsid w:val="00A16CB5"/>
    <w:rsid w:val="00A229ED"/>
    <w:rsid w:val="00A22D54"/>
    <w:rsid w:val="00A22DC7"/>
    <w:rsid w:val="00A24961"/>
    <w:rsid w:val="00A27940"/>
    <w:rsid w:val="00A3190F"/>
    <w:rsid w:val="00A32A52"/>
    <w:rsid w:val="00A358FF"/>
    <w:rsid w:val="00A40C19"/>
    <w:rsid w:val="00A40D6A"/>
    <w:rsid w:val="00A50C3B"/>
    <w:rsid w:val="00A52E55"/>
    <w:rsid w:val="00A56C3C"/>
    <w:rsid w:val="00A614DF"/>
    <w:rsid w:val="00A619AE"/>
    <w:rsid w:val="00A61CB8"/>
    <w:rsid w:val="00A63978"/>
    <w:rsid w:val="00A65E5E"/>
    <w:rsid w:val="00A71705"/>
    <w:rsid w:val="00A75FB4"/>
    <w:rsid w:val="00A7600F"/>
    <w:rsid w:val="00A80A2C"/>
    <w:rsid w:val="00A82B6A"/>
    <w:rsid w:val="00A82F2C"/>
    <w:rsid w:val="00A8602E"/>
    <w:rsid w:val="00A91131"/>
    <w:rsid w:val="00A92277"/>
    <w:rsid w:val="00A94536"/>
    <w:rsid w:val="00A9735A"/>
    <w:rsid w:val="00AA028A"/>
    <w:rsid w:val="00AA346A"/>
    <w:rsid w:val="00AB147E"/>
    <w:rsid w:val="00AB485E"/>
    <w:rsid w:val="00AB5C10"/>
    <w:rsid w:val="00AB5C82"/>
    <w:rsid w:val="00AC065C"/>
    <w:rsid w:val="00AC076F"/>
    <w:rsid w:val="00AC2F8F"/>
    <w:rsid w:val="00AD39D6"/>
    <w:rsid w:val="00AF08AB"/>
    <w:rsid w:val="00B07002"/>
    <w:rsid w:val="00B10686"/>
    <w:rsid w:val="00B1300E"/>
    <w:rsid w:val="00B13EEF"/>
    <w:rsid w:val="00B1699B"/>
    <w:rsid w:val="00B21DAE"/>
    <w:rsid w:val="00B24537"/>
    <w:rsid w:val="00B26DD8"/>
    <w:rsid w:val="00B30510"/>
    <w:rsid w:val="00B3145C"/>
    <w:rsid w:val="00B317CD"/>
    <w:rsid w:val="00B32A1C"/>
    <w:rsid w:val="00B4257D"/>
    <w:rsid w:val="00B4717F"/>
    <w:rsid w:val="00B473D4"/>
    <w:rsid w:val="00B475FF"/>
    <w:rsid w:val="00B556A6"/>
    <w:rsid w:val="00B55BB8"/>
    <w:rsid w:val="00B56303"/>
    <w:rsid w:val="00B571D4"/>
    <w:rsid w:val="00B64A81"/>
    <w:rsid w:val="00B64C88"/>
    <w:rsid w:val="00B66876"/>
    <w:rsid w:val="00B71551"/>
    <w:rsid w:val="00B71C23"/>
    <w:rsid w:val="00B72386"/>
    <w:rsid w:val="00B74FF6"/>
    <w:rsid w:val="00B7642A"/>
    <w:rsid w:val="00B917E5"/>
    <w:rsid w:val="00B946FE"/>
    <w:rsid w:val="00B960B8"/>
    <w:rsid w:val="00B97015"/>
    <w:rsid w:val="00BA601F"/>
    <w:rsid w:val="00BA7A73"/>
    <w:rsid w:val="00BB1D0F"/>
    <w:rsid w:val="00BB2F8D"/>
    <w:rsid w:val="00BB7CA1"/>
    <w:rsid w:val="00BC22F8"/>
    <w:rsid w:val="00BC25C9"/>
    <w:rsid w:val="00BC4609"/>
    <w:rsid w:val="00BD5820"/>
    <w:rsid w:val="00BD6216"/>
    <w:rsid w:val="00BE6CDD"/>
    <w:rsid w:val="00BF3E3F"/>
    <w:rsid w:val="00BF5027"/>
    <w:rsid w:val="00C03415"/>
    <w:rsid w:val="00C0490D"/>
    <w:rsid w:val="00C04A89"/>
    <w:rsid w:val="00C04EBE"/>
    <w:rsid w:val="00C07898"/>
    <w:rsid w:val="00C07C77"/>
    <w:rsid w:val="00C101E4"/>
    <w:rsid w:val="00C106FC"/>
    <w:rsid w:val="00C10FC3"/>
    <w:rsid w:val="00C12C83"/>
    <w:rsid w:val="00C140EC"/>
    <w:rsid w:val="00C17892"/>
    <w:rsid w:val="00C17ECF"/>
    <w:rsid w:val="00C20E9B"/>
    <w:rsid w:val="00C25EAF"/>
    <w:rsid w:val="00C3065C"/>
    <w:rsid w:val="00C316B1"/>
    <w:rsid w:val="00C34AFD"/>
    <w:rsid w:val="00C36F96"/>
    <w:rsid w:val="00C409C2"/>
    <w:rsid w:val="00C4267F"/>
    <w:rsid w:val="00C4282A"/>
    <w:rsid w:val="00C44281"/>
    <w:rsid w:val="00C47F01"/>
    <w:rsid w:val="00C52D6E"/>
    <w:rsid w:val="00C54285"/>
    <w:rsid w:val="00C56382"/>
    <w:rsid w:val="00C5793F"/>
    <w:rsid w:val="00C60ABB"/>
    <w:rsid w:val="00C61435"/>
    <w:rsid w:val="00C61A0A"/>
    <w:rsid w:val="00C61FED"/>
    <w:rsid w:val="00C664B0"/>
    <w:rsid w:val="00C70479"/>
    <w:rsid w:val="00C70BB2"/>
    <w:rsid w:val="00C73350"/>
    <w:rsid w:val="00C77765"/>
    <w:rsid w:val="00C77E45"/>
    <w:rsid w:val="00C81162"/>
    <w:rsid w:val="00C857E1"/>
    <w:rsid w:val="00C864EC"/>
    <w:rsid w:val="00C8727D"/>
    <w:rsid w:val="00C8733F"/>
    <w:rsid w:val="00C91416"/>
    <w:rsid w:val="00C94361"/>
    <w:rsid w:val="00C96352"/>
    <w:rsid w:val="00C96B2E"/>
    <w:rsid w:val="00C97523"/>
    <w:rsid w:val="00CA21B8"/>
    <w:rsid w:val="00CA3963"/>
    <w:rsid w:val="00CA565E"/>
    <w:rsid w:val="00CB044C"/>
    <w:rsid w:val="00CB25F3"/>
    <w:rsid w:val="00CB5097"/>
    <w:rsid w:val="00CB52D9"/>
    <w:rsid w:val="00CB55C4"/>
    <w:rsid w:val="00CB6820"/>
    <w:rsid w:val="00CB7479"/>
    <w:rsid w:val="00CC43DA"/>
    <w:rsid w:val="00CC575C"/>
    <w:rsid w:val="00CD20B2"/>
    <w:rsid w:val="00CD436B"/>
    <w:rsid w:val="00CD60F9"/>
    <w:rsid w:val="00CE0BAA"/>
    <w:rsid w:val="00CE5991"/>
    <w:rsid w:val="00CE6DEC"/>
    <w:rsid w:val="00CE7F49"/>
    <w:rsid w:val="00CF0A80"/>
    <w:rsid w:val="00CF6AFB"/>
    <w:rsid w:val="00D029AD"/>
    <w:rsid w:val="00D0366D"/>
    <w:rsid w:val="00D11637"/>
    <w:rsid w:val="00D11735"/>
    <w:rsid w:val="00D1206C"/>
    <w:rsid w:val="00D14C62"/>
    <w:rsid w:val="00D15B9D"/>
    <w:rsid w:val="00D20E83"/>
    <w:rsid w:val="00D26042"/>
    <w:rsid w:val="00D30A9C"/>
    <w:rsid w:val="00D337E1"/>
    <w:rsid w:val="00D33C7D"/>
    <w:rsid w:val="00D33E1C"/>
    <w:rsid w:val="00D35909"/>
    <w:rsid w:val="00D36372"/>
    <w:rsid w:val="00D422F7"/>
    <w:rsid w:val="00D42CE1"/>
    <w:rsid w:val="00D43515"/>
    <w:rsid w:val="00D43B4A"/>
    <w:rsid w:val="00D4414D"/>
    <w:rsid w:val="00D51489"/>
    <w:rsid w:val="00D5256F"/>
    <w:rsid w:val="00D537A6"/>
    <w:rsid w:val="00D55FBA"/>
    <w:rsid w:val="00D57661"/>
    <w:rsid w:val="00D629ED"/>
    <w:rsid w:val="00D633D7"/>
    <w:rsid w:val="00D65A43"/>
    <w:rsid w:val="00D712AB"/>
    <w:rsid w:val="00D729F6"/>
    <w:rsid w:val="00D733DF"/>
    <w:rsid w:val="00D7446E"/>
    <w:rsid w:val="00D74B9B"/>
    <w:rsid w:val="00D75870"/>
    <w:rsid w:val="00D8008A"/>
    <w:rsid w:val="00D8397E"/>
    <w:rsid w:val="00D952D8"/>
    <w:rsid w:val="00D963AE"/>
    <w:rsid w:val="00D97F3E"/>
    <w:rsid w:val="00DA42BD"/>
    <w:rsid w:val="00DA4BCE"/>
    <w:rsid w:val="00DA57E1"/>
    <w:rsid w:val="00DA697B"/>
    <w:rsid w:val="00DB0B79"/>
    <w:rsid w:val="00DB19F5"/>
    <w:rsid w:val="00DB3606"/>
    <w:rsid w:val="00DB5267"/>
    <w:rsid w:val="00DB6E43"/>
    <w:rsid w:val="00DB6F89"/>
    <w:rsid w:val="00DC179B"/>
    <w:rsid w:val="00DC5F75"/>
    <w:rsid w:val="00DC6C3D"/>
    <w:rsid w:val="00DC7BCB"/>
    <w:rsid w:val="00DD3B82"/>
    <w:rsid w:val="00DD6AE5"/>
    <w:rsid w:val="00DE3739"/>
    <w:rsid w:val="00DE5053"/>
    <w:rsid w:val="00DE5837"/>
    <w:rsid w:val="00DE76C0"/>
    <w:rsid w:val="00DF5086"/>
    <w:rsid w:val="00DF7946"/>
    <w:rsid w:val="00E01BAD"/>
    <w:rsid w:val="00E02068"/>
    <w:rsid w:val="00E0302D"/>
    <w:rsid w:val="00E0405B"/>
    <w:rsid w:val="00E0463B"/>
    <w:rsid w:val="00E055B3"/>
    <w:rsid w:val="00E06E2D"/>
    <w:rsid w:val="00E07C3B"/>
    <w:rsid w:val="00E1341A"/>
    <w:rsid w:val="00E13CA9"/>
    <w:rsid w:val="00E151AB"/>
    <w:rsid w:val="00E212DF"/>
    <w:rsid w:val="00E31292"/>
    <w:rsid w:val="00E3637B"/>
    <w:rsid w:val="00E370D4"/>
    <w:rsid w:val="00E400A4"/>
    <w:rsid w:val="00E418F7"/>
    <w:rsid w:val="00E43E61"/>
    <w:rsid w:val="00E442C5"/>
    <w:rsid w:val="00E464F7"/>
    <w:rsid w:val="00E4675C"/>
    <w:rsid w:val="00E4736E"/>
    <w:rsid w:val="00E52466"/>
    <w:rsid w:val="00E52F15"/>
    <w:rsid w:val="00E568A5"/>
    <w:rsid w:val="00E61A1F"/>
    <w:rsid w:val="00E7394B"/>
    <w:rsid w:val="00E74A28"/>
    <w:rsid w:val="00E76E9A"/>
    <w:rsid w:val="00E81194"/>
    <w:rsid w:val="00E835A0"/>
    <w:rsid w:val="00E85F59"/>
    <w:rsid w:val="00E865A7"/>
    <w:rsid w:val="00E8750C"/>
    <w:rsid w:val="00E9166C"/>
    <w:rsid w:val="00E92A86"/>
    <w:rsid w:val="00E947A6"/>
    <w:rsid w:val="00E94E3E"/>
    <w:rsid w:val="00E94F0B"/>
    <w:rsid w:val="00E9676F"/>
    <w:rsid w:val="00EA43F4"/>
    <w:rsid w:val="00EA4536"/>
    <w:rsid w:val="00EA62B3"/>
    <w:rsid w:val="00EB2F8E"/>
    <w:rsid w:val="00EB3799"/>
    <w:rsid w:val="00EB4E96"/>
    <w:rsid w:val="00EC0A8C"/>
    <w:rsid w:val="00EC3863"/>
    <w:rsid w:val="00EC3A67"/>
    <w:rsid w:val="00EC71EE"/>
    <w:rsid w:val="00ED07C8"/>
    <w:rsid w:val="00EE0389"/>
    <w:rsid w:val="00EE05EE"/>
    <w:rsid w:val="00EE0BD5"/>
    <w:rsid w:val="00EF02B5"/>
    <w:rsid w:val="00EF1BDB"/>
    <w:rsid w:val="00EF5352"/>
    <w:rsid w:val="00EF647E"/>
    <w:rsid w:val="00F01E3E"/>
    <w:rsid w:val="00F06977"/>
    <w:rsid w:val="00F129C9"/>
    <w:rsid w:val="00F1560C"/>
    <w:rsid w:val="00F21074"/>
    <w:rsid w:val="00F21B99"/>
    <w:rsid w:val="00F23514"/>
    <w:rsid w:val="00F24F56"/>
    <w:rsid w:val="00F25836"/>
    <w:rsid w:val="00F26433"/>
    <w:rsid w:val="00F27B5E"/>
    <w:rsid w:val="00F31494"/>
    <w:rsid w:val="00F314B7"/>
    <w:rsid w:val="00F33ABC"/>
    <w:rsid w:val="00F3661C"/>
    <w:rsid w:val="00F368D5"/>
    <w:rsid w:val="00F370ED"/>
    <w:rsid w:val="00F4220D"/>
    <w:rsid w:val="00F42706"/>
    <w:rsid w:val="00F44CA8"/>
    <w:rsid w:val="00F453F7"/>
    <w:rsid w:val="00F50C91"/>
    <w:rsid w:val="00F53E18"/>
    <w:rsid w:val="00F54E2E"/>
    <w:rsid w:val="00F556D3"/>
    <w:rsid w:val="00F57A79"/>
    <w:rsid w:val="00F61F63"/>
    <w:rsid w:val="00F62827"/>
    <w:rsid w:val="00F65A1A"/>
    <w:rsid w:val="00F67D18"/>
    <w:rsid w:val="00F71550"/>
    <w:rsid w:val="00F75A65"/>
    <w:rsid w:val="00F771E0"/>
    <w:rsid w:val="00F77576"/>
    <w:rsid w:val="00F8204E"/>
    <w:rsid w:val="00F83941"/>
    <w:rsid w:val="00F94EFD"/>
    <w:rsid w:val="00F94F6A"/>
    <w:rsid w:val="00F97ED2"/>
    <w:rsid w:val="00FA1CB9"/>
    <w:rsid w:val="00FA3D1F"/>
    <w:rsid w:val="00FA68C1"/>
    <w:rsid w:val="00FA7E28"/>
    <w:rsid w:val="00FB0797"/>
    <w:rsid w:val="00FB07B4"/>
    <w:rsid w:val="00FB0E30"/>
    <w:rsid w:val="00FB4C37"/>
    <w:rsid w:val="00FB5213"/>
    <w:rsid w:val="00FB6D5D"/>
    <w:rsid w:val="00FB72F2"/>
    <w:rsid w:val="00FB7FC2"/>
    <w:rsid w:val="00FC76BD"/>
    <w:rsid w:val="00FC7B67"/>
    <w:rsid w:val="00FD081D"/>
    <w:rsid w:val="00FD1988"/>
    <w:rsid w:val="00FD276B"/>
    <w:rsid w:val="00FD422C"/>
    <w:rsid w:val="00FE03D0"/>
    <w:rsid w:val="00FE2586"/>
    <w:rsid w:val="00FE548D"/>
    <w:rsid w:val="00FF1223"/>
    <w:rsid w:val="00FF1F72"/>
    <w:rsid w:val="00FF2909"/>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61A5F4"/>
  <w15:docId w15:val="{21C95515-6DB5-4EBD-B1EE-1CEDCF38E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bs-Latn-BA" w:eastAsia="bs-Latn-B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A7FE1"/>
    <w:pPr>
      <w:spacing w:after="100" w:line="320" w:lineRule="exact"/>
      <w:ind w:firstLine="567"/>
      <w:jc w:val="both"/>
    </w:pPr>
    <w:rPr>
      <w:noProof/>
      <w:sz w:val="24"/>
      <w:lang w:val="hr-HR" w:eastAsia="en-US"/>
    </w:rPr>
  </w:style>
  <w:style w:type="paragraph" w:styleId="Heading1">
    <w:name w:val="heading 1"/>
    <w:basedOn w:val="HeadingBase"/>
    <w:next w:val="Normal"/>
    <w:qFormat/>
    <w:rsid w:val="00B571D4"/>
    <w:pPr>
      <w:spacing w:after="220"/>
      <w:outlineLvl w:val="0"/>
    </w:pPr>
    <w:rPr>
      <w:sz w:val="28"/>
    </w:rPr>
  </w:style>
  <w:style w:type="paragraph" w:styleId="Heading2">
    <w:name w:val="heading 2"/>
    <w:basedOn w:val="HeadingBase"/>
    <w:next w:val="Normal"/>
    <w:qFormat/>
    <w:rsid w:val="00B571D4"/>
    <w:pPr>
      <w:outlineLvl w:val="1"/>
    </w:pPr>
    <w:rPr>
      <w:sz w:val="26"/>
    </w:rPr>
  </w:style>
  <w:style w:type="paragraph" w:styleId="Heading3">
    <w:name w:val="heading 3"/>
    <w:basedOn w:val="HeadingBase"/>
    <w:next w:val="Normal"/>
    <w:qFormat/>
    <w:rsid w:val="00B571D4"/>
    <w:pPr>
      <w:spacing w:after="220"/>
      <w:outlineLvl w:val="2"/>
    </w:pPr>
  </w:style>
  <w:style w:type="paragraph" w:styleId="Heading4">
    <w:name w:val="heading 4"/>
    <w:basedOn w:val="HeadingBase"/>
    <w:next w:val="Normal"/>
    <w:qFormat/>
    <w:rsid w:val="00B571D4"/>
    <w:pPr>
      <w:jc w:val="left"/>
      <w:outlineLvl w:val="3"/>
    </w:pPr>
  </w:style>
  <w:style w:type="paragraph" w:styleId="Heading5">
    <w:name w:val="heading 5"/>
    <w:basedOn w:val="HeadingBase"/>
    <w:next w:val="Normal"/>
    <w:qFormat/>
    <w:rsid w:val="00B571D4"/>
    <w:pPr>
      <w:ind w:left="720"/>
      <w:outlineLvl w:val="4"/>
    </w:pPr>
    <w:rPr>
      <w:spacing w:val="-5"/>
      <w:sz w:val="18"/>
    </w:rPr>
  </w:style>
  <w:style w:type="paragraph" w:styleId="Heading6">
    <w:name w:val="heading 6"/>
    <w:basedOn w:val="HeadingBase"/>
    <w:next w:val="Normal"/>
    <w:qFormat/>
    <w:rsid w:val="00B571D4"/>
    <w:pPr>
      <w:ind w:left="1080"/>
      <w:outlineLvl w:val="5"/>
    </w:pPr>
    <w:rPr>
      <w:spacing w:val="-5"/>
      <w:sz w:val="18"/>
    </w:rPr>
  </w:style>
  <w:style w:type="paragraph" w:styleId="Heading7">
    <w:name w:val="heading 7"/>
    <w:basedOn w:val="HeadingBase"/>
    <w:next w:val="Normal"/>
    <w:qFormat/>
    <w:rsid w:val="00B571D4"/>
    <w:pPr>
      <w:ind w:left="1440"/>
      <w:outlineLvl w:val="6"/>
    </w:pPr>
    <w:rPr>
      <w:spacing w:val="-5"/>
      <w:sz w:val="18"/>
    </w:rPr>
  </w:style>
  <w:style w:type="paragraph" w:styleId="Heading8">
    <w:name w:val="heading 8"/>
    <w:basedOn w:val="HeadingBase"/>
    <w:next w:val="Normal"/>
    <w:qFormat/>
    <w:rsid w:val="00B571D4"/>
    <w:pPr>
      <w:ind w:left="1800"/>
      <w:outlineLvl w:val="7"/>
    </w:pPr>
    <w:rPr>
      <w:spacing w:val="-5"/>
      <w:sz w:val="18"/>
    </w:rPr>
  </w:style>
  <w:style w:type="paragraph" w:styleId="Heading9">
    <w:name w:val="heading 9"/>
    <w:basedOn w:val="HeadingBase"/>
    <w:next w:val="Normal"/>
    <w:qFormat/>
    <w:rsid w:val="00B571D4"/>
    <w:pPr>
      <w:ind w:left="2160"/>
      <w:outlineLvl w:val="8"/>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Normal"/>
    <w:rsid w:val="00B571D4"/>
    <w:pPr>
      <w:keepNext/>
      <w:keepLines/>
      <w:spacing w:before="120" w:after="80"/>
      <w:jc w:val="center"/>
    </w:pPr>
    <w:rPr>
      <w:b/>
      <w:kern w:val="20"/>
    </w:rPr>
  </w:style>
  <w:style w:type="paragraph" w:styleId="Header">
    <w:name w:val="header"/>
    <w:aliases w:val="encabezado,he,header odd,header odd1,header odd2"/>
    <w:basedOn w:val="Normal"/>
    <w:rsid w:val="00B571D4"/>
    <w:pPr>
      <w:tabs>
        <w:tab w:val="center" w:pos="4320"/>
        <w:tab w:val="right" w:pos="8640"/>
      </w:tabs>
    </w:pPr>
  </w:style>
  <w:style w:type="paragraph" w:styleId="Footer">
    <w:name w:val="footer"/>
    <w:basedOn w:val="Normal"/>
    <w:link w:val="FooterChar"/>
    <w:uiPriority w:val="99"/>
    <w:rsid w:val="00D43B4A"/>
    <w:pPr>
      <w:tabs>
        <w:tab w:val="center" w:pos="4320"/>
        <w:tab w:val="right" w:pos="8640"/>
      </w:tabs>
    </w:pPr>
  </w:style>
  <w:style w:type="paragraph" w:styleId="NormalWeb">
    <w:name w:val="Normal (Web)"/>
    <w:basedOn w:val="Normal"/>
    <w:rsid w:val="008537E4"/>
    <w:pPr>
      <w:spacing w:before="100" w:beforeAutospacing="1" w:afterAutospacing="1" w:line="240" w:lineRule="auto"/>
      <w:ind w:firstLine="0"/>
      <w:jc w:val="left"/>
    </w:pPr>
    <w:rPr>
      <w:szCs w:val="24"/>
    </w:rPr>
  </w:style>
  <w:style w:type="character" w:styleId="PageNumber">
    <w:name w:val="page number"/>
    <w:basedOn w:val="DefaultParagraphFont"/>
    <w:rsid w:val="00123373"/>
  </w:style>
  <w:style w:type="table" w:styleId="TableGrid">
    <w:name w:val="Table Grid"/>
    <w:basedOn w:val="TableNormal"/>
    <w:rsid w:val="00A75FB4"/>
    <w:pPr>
      <w:spacing w:after="100" w:line="320" w:lineRule="exact"/>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375"/>
    <w:pPr>
      <w:ind w:left="720"/>
    </w:pPr>
  </w:style>
  <w:style w:type="character" w:styleId="Hyperlink">
    <w:name w:val="Hyperlink"/>
    <w:uiPriority w:val="99"/>
    <w:unhideWhenUsed/>
    <w:rsid w:val="00C07898"/>
    <w:rPr>
      <w:color w:val="0000FF"/>
      <w:u w:val="single"/>
    </w:rPr>
  </w:style>
  <w:style w:type="character" w:customStyle="1" w:styleId="FooterChar">
    <w:name w:val="Footer Char"/>
    <w:link w:val="Footer"/>
    <w:uiPriority w:val="99"/>
    <w:rsid w:val="009734E7"/>
    <w:rPr>
      <w:noProof/>
      <w:sz w:val="24"/>
      <w:lang w:val="hr-HR"/>
    </w:rPr>
  </w:style>
  <w:style w:type="paragraph" w:customStyle="1" w:styleId="Default">
    <w:name w:val="Default"/>
    <w:rsid w:val="00B64A81"/>
    <w:pPr>
      <w:autoSpaceDE w:val="0"/>
      <w:autoSpaceDN w:val="0"/>
      <w:adjustRightInd w:val="0"/>
    </w:pPr>
    <w:rPr>
      <w:color w:val="000000"/>
      <w:sz w:val="24"/>
      <w:szCs w:val="24"/>
    </w:rPr>
  </w:style>
  <w:style w:type="character" w:styleId="Emphasis">
    <w:name w:val="Emphasis"/>
    <w:uiPriority w:val="20"/>
    <w:qFormat/>
    <w:rsid w:val="00B71551"/>
    <w:rPr>
      <w:b/>
      <w:bCs/>
      <w:i w:val="0"/>
      <w:iCs w:val="0"/>
    </w:rPr>
  </w:style>
  <w:style w:type="character" w:customStyle="1" w:styleId="ft">
    <w:name w:val="ft"/>
    <w:basedOn w:val="DefaultParagraphFont"/>
    <w:rsid w:val="00B71551"/>
  </w:style>
  <w:style w:type="paragraph" w:styleId="BalloonText">
    <w:name w:val="Balloon Text"/>
    <w:basedOn w:val="Normal"/>
    <w:link w:val="BalloonTextChar"/>
    <w:rsid w:val="004D6938"/>
    <w:pPr>
      <w:spacing w:after="0" w:line="240" w:lineRule="auto"/>
    </w:pPr>
    <w:rPr>
      <w:rFonts w:ascii="Tahoma" w:hAnsi="Tahoma"/>
      <w:sz w:val="16"/>
      <w:szCs w:val="16"/>
    </w:rPr>
  </w:style>
  <w:style w:type="character" w:customStyle="1" w:styleId="BalloonTextChar">
    <w:name w:val="Balloon Text Char"/>
    <w:link w:val="BalloonText"/>
    <w:rsid w:val="004D6938"/>
    <w:rPr>
      <w:rFonts w:ascii="Tahoma" w:hAnsi="Tahoma" w:cs="Tahoma"/>
      <w:noProof/>
      <w:sz w:val="16"/>
      <w:szCs w:val="16"/>
      <w:lang w:val="hr-HR"/>
    </w:rPr>
  </w:style>
  <w:style w:type="paragraph" w:customStyle="1" w:styleId="ECCParBulleted">
    <w:name w:val="ECC Par Bulleted"/>
    <w:basedOn w:val="Normal"/>
    <w:uiPriority w:val="99"/>
    <w:rsid w:val="00487984"/>
    <w:pPr>
      <w:numPr>
        <w:numId w:val="13"/>
      </w:numPr>
      <w:spacing w:after="0" w:line="240" w:lineRule="auto"/>
    </w:pPr>
    <w:rPr>
      <w:rFonts w:ascii="Arial" w:hAnsi="Arial"/>
      <w:noProof w:val="0"/>
      <w:sz w:val="2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93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2B857A-3255-48D2-A8FB-0C9D98F6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Links>
    <vt:vector size="6" baseType="variant">
      <vt:variant>
        <vt:i4>8323198</vt:i4>
      </vt:variant>
      <vt:variant>
        <vt:i4>0</vt:i4>
      </vt:variant>
      <vt:variant>
        <vt:i4>0</vt:i4>
      </vt:variant>
      <vt:variant>
        <vt:i4>5</vt:i4>
      </vt:variant>
      <vt:variant>
        <vt:lpwstr>http://www.rak.ba/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Coric</dc:creator>
  <cp:lastModifiedBy>Enisa Dobric</cp:lastModifiedBy>
  <cp:revision>2</cp:revision>
  <cp:lastPrinted>2017-09-19T15:10:00Z</cp:lastPrinted>
  <dcterms:created xsi:type="dcterms:W3CDTF">2022-01-17T09:55:00Z</dcterms:created>
  <dcterms:modified xsi:type="dcterms:W3CDTF">2022-01-17T09:55:00Z</dcterms:modified>
</cp:coreProperties>
</file>